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2026-04-17 00:00 UTC [QZRV]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2026-04-17T00:00:00Z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more likely to remain rangebound (with only a slight upside skew) because the available drivers are dominated by stale geopolitical-risk and policy narratives without fresh confirmation in the last 72 hours.</w:t>
            </w:r>
          </w:p>
        </w:tc>
        <w:tc>
          <w:tcPr>
            <w:tcW w:type="dxa" w:w="1040"/>
          </w:tcPr>
          <w:p>
            <w:r>
              <w:t>54%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72</w:t>
            </w:r>
          </w:p>
        </w:tc>
      </w:tr>
      <w:tr>
        <w:tc>
          <w:tcPr>
            <w:tcW w:type="dxa" w:w="1040"/>
          </w:tcPr>
          <w:p>
            <w:r>
              <w:t>gold</w:t>
            </w:r>
          </w:p>
        </w:tc>
        <w:tc>
          <w:tcPr>
            <w:tcW w:type="dxa" w:w="1040"/>
          </w:tcPr>
          <w:p>
            <w:r>
              <w:t>B-GOLD-002</w:t>
            </w:r>
          </w:p>
        </w:tc>
        <w:tc>
          <w:tcPr>
            <w:tcW w:type="dxa" w:w="1040"/>
          </w:tcPr>
          <w:p>
            <w:r>
              <w:t>Over the next 6 hours, directional moves in gold futures are less likely to persist because there is effectively no fresh evidence in-window to anchor momentum.</w:t>
            </w:r>
          </w:p>
        </w:tc>
        <w:tc>
          <w:tcPr>
            <w:tcW w:type="dxa" w:w="1040"/>
          </w:tcPr>
          <w:p>
            <w:r>
              <w:t>57%</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"snap_2026-04-17T00:00:00Z_gold_6B",</w:t>
        <w:br/>
        <w:t xml:space="preserve"> "timestamp_utc": "2026-04-17T00:00:00Z",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72,</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are more likely to remain rangebound (with only a slight upside skew) because the available drivers are dominated by stale geopolitical-risk and policy narratives without fresh confirmation in the last 72 hours.",</w:t>
        <w:br/>
        <w:t xml:space="preserve"> "probability_pct": 54,</w:t>
        <w:br/>
        <w:t xml:space="preserve"> "direction": "mixed",</w:t>
        <w:br/>
        <w:t xml:space="preserve"> "velocity": "fading",</w:t>
        <w:br/>
        <w:t xml:space="preserve"> "horizon": "24h",</w:t>
        <w:br/>
        <w:t xml:space="preserve"> "drivers": [</w:t>
        <w:br/>
        <w:t xml:space="preserve"> "geopolitical_risk",</w:t>
        <w:br/>
        <w:t xml:space="preserve"> "real_rates",</w:t>
        <w:br/>
        <w:t xml:space="preserve"> "usd_strength",</w:t>
        <w:br/>
        <w:t xml:space="preserve"> "central_bank_flows",</w:t>
        <w:br/>
        <w:t xml:space="preserve"> "etf_investment_flows",</w:t>
        <w:br/>
        <w:t xml:space="preserve"> "physical_gold_demand"</w:t>
        <w:br/>
        <w:t xml:space="preserve"> ],</w:t>
        <w:br/>
        <w:t xml:space="preserve"> "contradicted_by": [],</w:t>
        <w:br/>
        <w:t xml:space="preserve"> "directional_confidence_score_0_100": 38,</w:t>
        <w:br/>
        <w:t xml:space="preserve"> "authority_confirmation_score_0_100": 55,</w:t>
        <w:br/>
        <w:t xml:space="preserve"> "authority_confirmation_band": "medium"</w:t>
        <w:br/>
        <w:t xml:space="preserve"> },</w:t>
        <w:br/>
        <w:t xml:space="preserve"> {</w:t>
        <w:br/>
        <w:t xml:space="preserve"> "belief_id": "B-GOLD-002",</w:t>
        <w:br/>
        <w:t xml:space="preserve"> "market": "gold",</w:t>
        <w:br/>
        <w:t xml:space="preserve"> "claim": "Over the next 6 hours, directional moves in gold futures are less likely to persist because there is effectively no fresh evidence in-window to anchor momentum.",</w:t>
        <w:br/>
        <w:t xml:space="preserve"> "probability_pct": 57,</w:t>
        <w:br/>
        <w:t xml:space="preserve"> "direction": "flat",</w:t>
        <w:br/>
        <w:t xml:space="preserve"> "velocity": "stable",</w:t>
        <w:br/>
        <w:t xml:space="preserve"> "horizon": "6h",</w:t>
        <w:br/>
        <w:t xml:space="preserve"> "drivers": [</w:t>
        <w:br/>
        <w:t xml:space="preserve"> "real_rates",</w:t>
        <w:br/>
        <w:t xml:space="preserve"> "usd_strength"</w:t>
        <w:br/>
        <w:t xml:space="preserve"> ],</w:t>
        <w:br/>
        <w:t xml:space="preserve"> "contradicted_by": [],</w:t>
        <w:br/>
        <w:t xml:space="preserve"> "directional_confidence_score_0_100": 40,</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45,</w:t>
        <w:br/>
        <w:t xml:space="preserve"> "conviction_score_0_100": 38,</w:t>
        <w:br/>
        <w:t xml:space="preserve"> "authority_confirmation_score_0_100": 55,</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w:t>
        <w:br/>
        <w:t xml:space="preserve"> "source_tier_counts": {</w:t>
        <w:br/>
        <w:t xml:space="preserve"> "A": 15,</w:t>
        <w:br/>
        <w:t xml:space="preserve"> "B": 1,</w:t>
        <w:br/>
        <w:t xml:space="preserve"> "C": 0,</w:t>
        <w:br/>
        <w:t xml:space="preserve"> "D": 22,</w:t>
        <w:br/>
        <w:t xml:space="preserve"> "U": 0</w:t>
        <w:br/>
        <w:t xml:space="preserve"> },</w:t>
        <w:br/>
        <w:t xml:space="preserve"> "freshness_mix": {</w:t>
        <w:br/>
        <w:t xml:space="preserve"> "fresh_0_6h": 0,</w:t>
        <w:br/>
        <w:t xml:space="preserve"> "fresh_6_24h": 0,</w:t>
        <w:br/>
        <w:t xml:space="preserve"> "stale_24_72h": 0,</w:t>
        <w:br/>
        <w:t xml:space="preserve"> "stale_gt_72h": 6</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"rationale": "Most admitted supporting narratives are &gt;72h old versus the snapshot time; freshness-weighting strongly suppresses directional conviction."</w:t>
        <w:br/>
        <w:t xml:space="preserve"> },</w:t>
        <w:br/>
        <w:t xml:space="preserve"> {</w:t>
        <w:br/>
        <w:t xml:space="preserve"> "flag": "data_sparsity_recent_window",</w:t>
        <w:br/>
        <w:t xml:space="preserve"> "market": "gold",</w:t>
        <w:br/>
        <w:t xml:space="preserve"> "severity": "high",</w:t>
        <w:br/>
        <w:t xml:space="preserve"> "rationale": "No materialised evidence records fall inside the last 24h buckets used for the timeseries layer; near-term momentum inference is degraded."</w:t>
        <w:br/>
        <w:t xml:space="preserve"> },</w:t>
        <w:br/>
        <w:t xml:space="preserve"> {</w:t>
        <w:br/>
        <w:t xml:space="preserve"> "flag": "narrative_whipsaw_risk",</w:t>
        <w:br/>
        <w:t xml:space="preserve"> "market": "gold",</w:t>
        <w:br/>
        <w:t xml:space="preserve"> "severity": "medium",</w:t>
        <w:br/>
        <w:t xml:space="preserve"> "rationale": "High fragility with low freshness means any new real-rates/USD/flows print could rapidly shift direction from neutral."</w:t>
        <w:br/>
        <w:t xml:space="preserve"> }</w:t>
        <w:br/>
        <w:t xml:space="preserve"> ],</w:t>
        <w:br/>
        <w:t xml:space="preserve"> "candidate_actions": [</w:t>
        <w:br/>
        <w:t xml:space="preserve"> {</w:t>
        <w:br/>
        <w:t xml:space="preserve"> "action": "stay_flat",</w:t>
        <w:br/>
        <w:t xml:space="preserve"> "market": "gold",</w:t>
        <w:br/>
        <w:t xml:space="preserve"> "confidence": "high",</w:t>
        <w:br/>
        <w:t xml:space="preserve"> "trigger_condition": "Remain in this label-state until at least 3 fresh (&lt;=24h) gold-relevant signals appear across real rates, USD, ETF/CB flows, or physical demand."</w:t>
        <w:br/>
        <w:t xml:space="preserve"> },</w:t>
        <w:br/>
        <w:t xml:space="preserve"> {</w:t>
        <w:br/>
        <w:t xml:space="preserve"> "action": "volatility_watch",</w:t>
        <w:br/>
        <w:t xml:space="preserve"> "market": "gold",</w:t>
        <w:br/>
        <w:t xml:space="preserve"> "confidence": "medium",</w:t>
        <w:br/>
        <w:t xml:space="preserve"> "trigger_condition": "Escalate if a fresh macro print or a new high-authority geopolitical escalation signal appears and is corroborated by a second independent source within 2 hours."</w:t>
        <w:br/>
        <w:t xml:space="preserve"> },</w:t>
        <w:br/>
        <w:t xml:space="preserve"> {</w:t>
        <w:br/>
        <w:t xml:space="preserve"> "action": "reversal_watch",</w:t>
        <w:br/>
        <w:t xml:space="preserve"> "market": "gold",</w:t>
        <w:br/>
        <w:t xml:space="preserve"> "confidence": "low",</w:t>
        <w:br/>
        <w:t xml:space="preserve"> "trigger_condition": "Upgrade only if fresh counter-direction evidence mass emerges (2+ independent records within 2h) against the next established directional bias."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"2026-04-16T00:00:00Z",</w:t>
        <w:br/>
        <w:t xml:space="preserve"> "bucket_end_utc": "2026-04-16T01:00:00Z",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"2026-04-16T01:00:00Z",</w:t>
        <w:br/>
        <w:t xml:space="preserve"> "bucket_end_utc": "2026-04-16T02:00:00Z",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"2026-04-16T02:00:00Z",</w:t>
        <w:br/>
        <w:t xml:space="preserve"> "bucket_end_utc": "2026-04-16T03:00:00Z",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"2026-04-16T03:00:00Z",</w:t>
        <w:br/>
        <w:t xml:space="preserve"> "bucket_end_utc": "2026-04-16T04:00:00Z",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"2026-04-16T04:00:00Z",</w:t>
        <w:br/>
        <w:t xml:space="preserve"> "bucket_end_utc": "2026-04-16T05:00:00Z",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"2026-04-16T05:00:00Z",</w:t>
        <w:br/>
        <w:t xml:space="preserve"> "bucket_end_utc": "2026-04-16T06:00:00Z",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"2026-04-16T06:00:00Z",</w:t>
        <w:br/>
        <w:t xml:space="preserve"> "bucket_end_utc": "2026-04-16T07:00:00Z",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"2026-04-16T07:00:00Z",</w:t>
        <w:br/>
        <w:t xml:space="preserve"> "bucket_end_utc": "2026-04-16T08:00:00Z",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"2026-04-16T08:00:00Z",</w:t>
        <w:br/>
        <w:t xml:space="preserve"> "bucket_end_utc": "2026-04-16T09:00:00Z",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"2026-04-16T09:00:00Z",</w:t>
        <w:br/>
        <w:t xml:space="preserve"> "bucket_end_utc": "2026-04-16T10:00:00Z",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"2026-04-16T10:00:00Z",</w:t>
        <w:br/>
        <w:t xml:space="preserve"> "bucket_end_utc": "2026-04-16T11:00:00Z",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"2026-04-16T11:00:00Z",</w:t>
        <w:br/>
        <w:t xml:space="preserve"> "bucket_end_utc": "2026-04-16T12:00:00Z",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"2026-04-16T12:00:00Z",</w:t>
        <w:br/>
        <w:t xml:space="preserve"> "bucket_end_utc": "2026-04-16T13:00:00Z",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"2026-04-16T13:00:00Z",</w:t>
        <w:br/>
        <w:t xml:space="preserve"> "bucket_end_utc": "2026-04-16T14:00:00Z",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"2026-04-16T14:00:00Z",</w:t>
        <w:br/>
        <w:t xml:space="preserve"> "bucket_end_utc": "2026-04-16T15:00:00Z",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"2026-04-16T15:00:00Z",</w:t>
        <w:br/>
        <w:t xml:space="preserve"> "bucket_end_utc": "2026-04-16T16:00:00Z",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"2026-04-16T16:00:00Z",</w:t>
        <w:br/>
        <w:t xml:space="preserve"> "bucket_end_utc": "2026-04-16T17:00:00Z",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"2026-04-16T17:00:00Z",</w:t>
        <w:br/>
        <w:t xml:space="preserve"> "bucket_end_utc": "2026-04-16T18:00:00Z",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"2026-04-16T18:00:00Z",</w:t>
        <w:br/>
        <w:t xml:space="preserve"> "bucket_end_utc": "2026-04-16T19:00:00Z",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"2026-04-16T19:00:00Z",</w:t>
        <w:br/>
        <w:t xml:space="preserve"> "bucket_end_utc": "2026-04-16T20:00:00Z",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"2026-04-16T20:00:00Z",</w:t>
        <w:br/>
        <w:t xml:space="preserve"> "bucket_end_utc": "2026-04-16T21:00:00Z",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"2026-04-16T21:00:00Z",</w:t>
        <w:br/>
        <w:t xml:space="preserve"> "bucket_end_utc": "2026-04-16T22:00:00Z",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"2026-04-16T22:00:00Z",</w:t>
        <w:br/>
        <w:t xml:space="preserve"> "bucket_end_utc": "2026-04-16T23:00:00Z",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"2026-04-16T23:00:00Z",</w:t>
        <w:br/>
        <w:t xml:space="preserve"> "bucket_end_utc": "2026-04-17T00:00:00Z",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4,</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to market_code=gold; scope_mode forced to single_market.",</w:t>
        <w:br/>
        <w:t xml:space="preserve"> "Admitted drivers are predominantly geopolitical-risk and policy narratives dated 2026-03-04 to 2026-03-09; as of 2026-04-17T00:00:00Z these are &gt;72h old and treated as background only.",</w:t>
        <w:br/>
        <w:t xml:space="preserve"> "Client guardrails: require_directional_conviction=true and suppress_direction_if_degraded=true; result held at neutral_mixed with weakened momentum due to stale suppression.",</w:t>
        <w:br/>
        <w:t xml:space="preserve"> "No late-breaking invalidation sentinel fired: no corroborated fresh opposing evidence &lt;=2h for gold was present in the admitted corpus."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