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2026-04-14 00:00 UTC [VQHJ] | Fragile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gold</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data_sparsity (high)</w:t>
      </w:r>
      <w:r/>
    </w:p>
    <w:p>
      <w:pPr>
        <w:pStyle w:val="ListBullet"/>
        <w:spacing w:line="240" w:lineRule="auto"/>
        <w:ind w:left="720"/>
      </w:pPr>
      <w:r/>
      <w:r>
        <w:t>generated_at: 2026-04-14T00:00:00Z</w:t>
      </w:r>
      <w:r/>
    </w:p>
    <w:p>
      <w:pPr>
        <w:pStyle w:val="ListBullet"/>
        <w:spacing w:line="240" w:lineRule="auto"/>
        <w:ind w:left="720"/>
      </w:pPr>
      <w:r/>
      <w:r>
        <w:t>sentiment_word: Fragile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B-GOLD-1</w:t>
            </w:r>
          </w:p>
        </w:tc>
        <w:tc>
          <w:tcPr>
            <w:tcW w:type="dxa" w:w="1040"/>
          </w:tcPr>
          <w:p>
            <w:r>
              <w:t>Gold futures are more likely to remain mixed/rangebound over the next 6–24 hours because the admitted gold-mapped signal set is sparse and lacks fresh corroboration in the last 24 hours.</w:t>
            </w:r>
          </w:p>
        </w:tc>
        <w:tc>
          <w:tcPr>
            <w:tcW w:type="dxa" w:w="1040"/>
          </w:tcPr>
          <w:p>
            <w:r>
              <w:t>55</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B-GOLD-2</w:t>
            </w:r>
          </w:p>
        </w:tc>
        <w:tc>
          <w:tcPr>
            <w:tcW w:type="dxa" w:w="1040"/>
          </w:tcPr>
          <w:p>
            <w:r>
              <w:t>If gold trade/traceability disruption narratives broaden beyond single-source reporting, short-term upside volatility risk for gold could increase.</w:t>
            </w:r>
          </w:p>
        </w:tc>
        <w:tc>
          <w:tcPr>
            <w:tcW w:type="dxa" w:w="1040"/>
          </w:tcPr>
          <w:p>
            <w:r>
              <w:t>35</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78</w:t>
            </w:r>
          </w:p>
        </w:tc>
      </w:tr>
    </w:tbl>
    <w:p>
      <w:r/>
    </w:p>
    <w:p>
      <w:pPr>
        <w:pStyle w:val="Heading2"/>
      </w:pPr>
      <w:r>
        <w:t>Data Dump (Machine Use)</w:t>
      </w:r>
      <w:r/>
    </w:p>
    <w:p>
      <w:r/>
      <w:r>
        <w:t>{ "workflow_6B_CIS_output": { "snapshot_id": "6B-2026-04-14T00:00:00Z-gold", "timestamp_utc": "2026-04-14T00:00:00Z", "primary_asset_focus": { "name": "Gold futures", "market_code": "gold" }, "headline_sentiment_word": "Fragile", "headline_conviction_score_0_100": 28, "headline_fragility_score_0_100": 78, "headline_authority_confirmation_score_0_100": 18, "commodity_registry": [ "crude_oil", "gold", "natural_gas", "copper", "silver", "wheat", "corn", "uranium", "lithium", "coffee" ], "target_market_code": "gold", "target_resolution_source": "explicit", "scope_mode": "single_market", "analyzed_markets": [ "gold" ], "regime_state": "rangebound", "beliefs": [ { "belief_id": "B-GOLD-1", "market": "gold", "claim": "Gold futures are more likely to remain mixed/rangebound over the next 6\u201324 hours because the admitted gold-mapped signal set is sparse and lacks fresh corroboration in the last 24 hours.", "probability_pct": 55, "direction": "mixed", "velocity": "fading", "horizon": "24h", "drivers": [ "data_sparsity_in_gold_specific_feeds", "lack_of_fresh_confirming_evidence_last_24h" ], "contradicted_by": [ "a_singleton_supply_chain_disruption_story_that_could_escalate_if_corroborated", "ETF_positioning_noise_without_confirmed_source_diversity" ], "directional_confidence_score_0_100": 30, "authority_confirmation_score_0_100": 15, "authority_confirmation_band": "low" }, { "belief_id": "B-GOLD-2", "market": "gold", "claim": "If gold trade/traceability disruption narratives broaden beyond single-source reporting, short-term upside volatility risk for gold could increase.", "probability_pct": 35, "direction": "up", "velocity": "stable", "horizon": "6h", "drivers": [ "physical_gold_supply_chain_traceability_risk", "potential_trade_route_or_compliance_friction" ], "contradicted_by": [ "currently_single_source_echo_risk", "no_recent_multi_source_confirmation" ], "directional_confidence_score_0_100": 22, "authority_confirmation_score_0_100": 5, "authority_confirmation_band": "low" } ], "market_state_table": [ { "market": "gold", "directional_state": "neutral_mixed", "momentum_state": "weakening", "reversal_risk": "low", "state_change": "unchanged", "directional_mass_score_0_100": 32, "conviction_score_0_100": 28, "authority_confirmation_score_0_100": 18, "authority_confirmation_band": "low", "freshness_confidence": "low", "catalyst_type": "unclear", "stale_suppression_applied": true, "thesis_kill_switch": false, "late_breaking_alert": false, "fragility_score_0_100": 78, "supporting_belief_ids": [ "B-GOLD-1", "B-GOLD-2" ], "source_tier_counts": { "A": 0, "B": 0, "C": 0, "D": 1, "U": 1 }, "freshness_mix": { "fresh_0_6h": 0, "fresh_6_24h": 0, "mid_24_72h": 0, "stale_gt_72h": 2, "total_admitted_signals": 2 } } ], "risk_flags": [ { "market": "gold", "flag": "data_sparsity", "severity": "high", "detail": "Only 2 gold-mapped admitted signals (below min_evidence_threshold=3); direction suppressed to neutral_mixed." }, { "market": "gold", "flag": "stale_context_overhang", "severity": "medium", "detail": "Admitted gold-related evidence is older than 72h; stale suppression applied and momentum marked weakening." }, { "market": "gold", "flag": "single_source_echo_risk", "severity": "medium", "detail": "Physical gold trade/traceability disruption item is single-source and low-authority (echo-risk)." } ], "candidate_actions": [ { "market": "gold", "confidence": "high", "action_label": "stay_flat", "trigger_condition": "Remain in neutral watch posture until &gt;=3 independent, recent (&lt;=24h) gold-mapped signals align directionally." }, { "market": "gold", "confidence": "medium", "action_label": "volatility_watch", "trigger_condition": "Escalate to volatility watch if additional independent sources confirm physical gold trade/traceability disruptions or if fresh macro-rate headlines explicitly reference gold positioning." }, { "market": "gold", "confidence": "low", "action_label": "reversal_watch", "trigger_condition": "Activate reversal watch only if a fresh (&lt;=2h) hard invalidator appears that flips the net gold-mapped corpus direction from neutral to strongly one-sided." } ], "paper_trade_signal_pack": { "bullish_markets": [], "bearish_markets": [], "neutral_mixed_markets": [ "gold" ], "high_reversal_risk_markets": [] }, "signal_timeseries": { "resolution": "1h", "lookback_hours": 24, "bucket_timezone": "UTC", "buckets": [ { "bucket_start_utc": "2026-04-13T00:00:00Z", "bucket_end_utc": "2026-04-13T01:00:00Z",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"2026-04-13T01:00:00Z", "bucket_end_utc": "2026-04-13T02:00:00Z",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"2026-04-13T02:00:00Z", "bucket_end_utc": "2026-04-13T03:00:00Z",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"2026-04-13T03:00:00Z", "bucket_end_utc": "2026-04-13T04:00:00Z",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"2026-04-13T04:00:00Z", "bucket_end_utc": "2026-04-13T05:00:00Z",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"2026-04-13T05:00:00Z", "bucket_end_utc": "2026-04-13T06:00:00Z",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"2026-04-13T06:00:00Z", "bucket_end_utc": "2026-04-13T07:00:00Z",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"2026-04-13T07:00:00Z", "bucket_end_utc": "2026-04-13T08:00:00Z",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"2026-04-13T08:00:00Z", "bucket_end_utc": "2026-04-13T09:00:00Z",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"2026-04-13T09:00:00Z", "bucket_end_utc": "2026-04-13T10:00:00Z",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"2026-04-13T10:00:00Z", "bucket_end_utc": "2026-04-13T11:00:00Z",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"2026-04-13T11:00:00Z", "bucket_end_utc": "2026-04-13T12:00:00Z",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"2026-04-13T12:00:00Z", "bucket_end_utc": "2026-04-13T13:00:00Z",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"2026-04-13T13:00:00Z", "bucket_end_utc": "2026-04-13T14:00:00Z",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"2026-04-13T14:00:00Z", "bucket_end_utc": "2026-04-13T15:00:00Z",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"2026-04-13T15:00:00Z", "bucket_end_utc": "2026-04-13T16:00:00Z",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"2026-04-13T16:00:00Z", "bucket_end_utc": "2026-04-13T17:00:00Z",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"2026-04-13T17:00:00Z", "bucket_end_utc": "2026-04-13T18:00:00Z",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"2026-04-13T18:00:00Z", "bucket_end_utc": "2026-04-13T19:00:00Z",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"2026-04-13T19:00:00Z", "bucket_end_utc": "2026-04-13T20:00:00Z",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"2026-04-13T20:00:00Z", "bucket_end_utc": "2026-04-13T21:00:00Z",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"2026-04-13T21:00:00Z", "bucket_end_utc": "2026-04-13T22:00:00Z",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"2026-04-13T22:00:00Z", "bucket_end_utc": "2026-04-13T23:00:00Z",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"2026-04-13T23:00:00Z", "bucket_end_utc": "2026-04-14T00:00:00Z",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12, "trends_admitted": 0, "cross_domain_merges": 0, "stale_suppression_count": 1, "reversal_flags_count": 0, "late_breaking_alerts_count": 0, "kill_switch_markets_count": 0, "strong_mass_low_authority_cycles": 0, "timeseries_bucket_count": 24, "timeseries_overlay_bucket_count": 0, "target_market_custom": false, "target_market_unresolved": false, "input_gate_degraded": true, "notes": [ "Target market resolved explicitly as 'gold' from flight_plan.target_market_code.", "Most high-volume trends in the provided corpus were geopolitics/energy themed but could not be confidently alias-mapped to the canonical market 'gold' (no explicit gold/XAU/bullion linkage), so they were not admitted for single-market gold synthesis.", "Only two gold-mapped signals were available (VIP-001: gold trade/traceability disruption; VIP-010: GLD dynamics). This is below min_evidence_threshold=3; direction held neutral_mixed.", "No admitted gold-mapped evidence fell within the last 24h window; timeseries buckets are therefore sparse/flat with low conviction and high fragility." ] }, "completion_state": "ready_for_workflow_8B" }</w:t>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