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2026-04-13 08:00 UTC [QZSR] | Unstable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w:t>
      </w:r>
      <w:r/>
    </w:p>
    <w:p>
      <w:pPr>
        <w:pStyle w:val="ListBullet"/>
        <w:spacing w:line="240" w:lineRule="auto"/>
        <w:ind w:left="720"/>
      </w:pPr>
      <w:r/>
      <w:r>
        <w:t>generated_at: 2026-04-13T08:00:00Z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near-term direction is neutral/mixed because gold-specific evidence in the admitted corpus is thin and stale versus the requested 6h/24h horizon.</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67</w:t>
            </w:r>
          </w:p>
        </w:tc>
      </w:tr>
      <w:tr>
        <w:tc>
          <w:tcPr>
            <w:tcW w:type="dxa" w:w="1040"/>
          </w:tcPr>
          <w:p>
            <w:r>
              <w:t>gold</w:t>
            </w:r>
          </w:p>
        </w:tc>
        <w:tc>
          <w:tcPr>
            <w:tcW w:type="dxa" w:w="1040"/>
          </w:tcPr>
          <w:p>
            <w:r>
              <w:t>B-gold-002</w:t>
            </w:r>
          </w:p>
        </w:tc>
        <w:tc>
          <w:tcPr>
            <w:tcW w:type="dxa" w:w="1040"/>
          </w:tcPr>
          <w:p>
            <w:r>
              <w:t>Operational/distribution frictions in physical gold trade (traceability, routing, logistics) may add episodic risk-premium, but current corpus support is single/low-diversity and not recent.</w:t>
            </w:r>
          </w:p>
        </w:tc>
        <w:tc>
          <w:tcPr>
            <w:tcW w:type="dxa" w:w="1040"/>
          </w:tcPr>
          <w:p>
            <w:r>
              <w:t>42%</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67</w:t>
            </w:r>
          </w:p>
        </w:tc>
      </w:tr>
    </w:tbl>
    <w:p>
      <w:r/>
    </w:p>
    <w:p>
      <w:pPr>
        <w:pStyle w:val="Heading2"/>
      </w:pPr>
      <w:r>
        <w:t>Data Dump (Machine Use)</w:t>
      </w:r>
      <w:r/>
    </w:p>
    <w:p>
      <w:r/>
      <w:r>
        <w:rPr>
          <w:rFonts w:ascii="Courier" w:hAnsi="Courier"/>
        </w:rPr>
        <w:t>{</w:t>
        <w:br/>
        <w:t xml:space="preserve"> "workflow_6B_CIS_output": {</w:t>
        <w:br/>
        <w:t xml:space="preserve"> "snapshot_id": "6B-gold-20260413T080000Z",</w:t>
        <w:br/>
        <w:t xml:space="preserve"> "timestamp_utc": "2026-04-13T08:00:00Z",</w:t>
        <w:br/>
        <w:t xml:space="preserve"> "primary_asset_focus": {</w:t>
        <w:br/>
        <w:t xml:space="preserve"> "name": "Gold futures",</w:t>
        <w:br/>
        <w:t xml:space="preserve"> "market_code": "gold"</w:t>
        <w:br/>
        <w:t xml:space="preserve"> },</w:t>
        <w:br/>
        <w:t xml:space="preserve"> "headline_sentiment_word": "Unstable",</w:t>
        <w:br/>
        <w:t xml:space="preserve"> "headline_conviction_score_0_100": 33,</w:t>
        <w:br/>
        <w:t xml:space="preserve"> "headline_fragility_score_0_100": 67,</w:t>
        <w:br/>
        <w:t xml:space="preserve"> "headline_authority_confirmation_score_0_100": 25,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near-term direction is neutral/mixed because gold-specific evidence in the admitted corpus is thin and stale versus the requested 6h/24h horizon.",</w:t>
        <w:br/>
        <w:t xml:space="preserve"> "probability_pct": 58,</w:t>
        <w:br/>
        <w:t xml:space="preserve"> "direction": "mixed",</w:t>
        <w:br/>
        <w:t xml:space="preserve"> "velocity": "fading",</w:t>
        <w:br/>
        <w:t xml:space="preserve"> "horizon": "24h",</w:t>
        <w:br/>
        <w:t xml:space="preserve"> "drivers": [</w:t>
        <w:br/>
        <w:t xml:space="preserve"> "data_sparsity",</w:t>
        <w:br/>
        <w:t xml:space="preserve"> "stale_context_overhang"</w:t>
        <w:br/>
        <w:t xml:space="preserve"> ],</w:t>
        <w:br/>
        <w:t xml:space="preserve"> "contradicted_by": [],</w:t>
        <w:br/>
        <w:t xml:space="preserve"> "directional_confidence_score_0_100": 35,</w:t>
        <w:br/>
        <w:t xml:space="preserve"> "authority_confirmation_score_0_100": 20,</w:t>
        <w:br/>
        <w:t xml:space="preserve"> "authority_confirmation_band": "low"</w:t>
        <w:br/>
        <w:t xml:space="preserve"> },</w:t>
        <w:br/>
        <w:t xml:space="preserve"> {</w:t>
        <w:br/>
        <w:t xml:space="preserve"> "belief_id": "B-gold-002",</w:t>
        <w:br/>
        <w:t xml:space="preserve"> "market": "gold",</w:t>
        <w:br/>
        <w:t xml:space="preserve"> "claim": "Operational/distribution frictions in physical gold trade (traceability, routing, logistics) may add episodic risk-premium, but current corpus support is single/low-diversity and not recent.",</w:t>
        <w:br/>
        <w:t xml:space="preserve"> "probability_pct": 42,</w:t>
        <w:br/>
        <w:t xml:space="preserve"> "direction": "up",</w:t>
        <w:br/>
        <w:t xml:space="preserve"> "velocity": "fading",</w:t>
        <w:br/>
        <w:t xml:space="preserve"> "horizon": "24h",</w:t>
        <w:br/>
        <w:t xml:space="preserve"> "drivers": [</w:t>
        <w:br/>
        <w:t xml:space="preserve"> "physical_gold_demand",</w:t>
        <w:br/>
        <w:t xml:space="preserve"> "geopolitical_risk",</w:t>
        <w:br/>
        <w:t xml:space="preserve"> "trade_logistics"</w:t>
        <w:br/>
        <w:t xml:space="preserve"> ],</w:t>
        <w:br/>
        <w:t xml:space="preserve"> "contradicted_by": [</w:t>
        <w:br/>
        <w:t xml:space="preserve"> "lack_of_recent_confirmation_in_last_72h"</w:t>
        <w:br/>
        <w:t xml:space="preserve"> ],</w:t>
        <w:br/>
        <w:t xml:space="preserve"> "directional_confidence_score_0_100": 28,</w:t>
        <w:br/>
        <w:t xml:space="preserve"> "authority_confirmation_score_0_100": 25,</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32,</w:t>
        <w:br/>
        <w:t xml:space="preserve"> "conviction_score_0_100": 33,</w:t>
        <w:br/>
        <w:t xml:space="preserve"> "authority_confirmation_score_0_100": 25,</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67,</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0</w:t>
        <w:br/>
        <w:t xml:space="preserve"> },</w:t>
        <w:br/>
        <w:t xml:space="preserve"> "freshness_mix": {</w:t>
        <w:br/>
        <w:t xml:space="preserve"> "fresh_0_24h": 0,</w:t>
        <w:br/>
        <w:t xml:space="preserve"> "mid_24_72h": 0,</w:t>
        <w:br/>
        <w:t xml:space="preserve"> "stale_over_72h": 2</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 "Gold-mapped signals &lt; min_evidence_threshold (3) for requested 6h/24h horizons; direction suppressed to neutral_mixed."</w:t>
        <w:br/>
        <w:t xml:space="preserve"> },</w:t>
        <w:br/>
        <w:t xml:space="preserve"> {</w:t>
        <w:br/>
        <w:t xml:space="preserve"> "flag": "stale_context_overhang",</w:t>
        <w:br/>
        <w:t xml:space="preserve"> "market": "gold",</w:t>
        <w:br/>
        <w:t xml:space="preserve"> "severity": "high",</w:t>
        <w:br/>
        <w:t xml:space="preserve"> "detail": "Most gold-relevant evidence timestamps are from 2026-03-04 to 2026-03-09 (&gt;72h), strongly downweighted."</w:t>
        <w:br/>
        <w:t xml:space="preserve"> },</w:t>
        <w:br/>
        <w:t xml:space="preserve"> {</w:t>
        <w:br/>
        <w:t xml:space="preserve"> "flag": "narrative_whipsaw_risk",</w:t>
        <w:br/>
        <w:t xml:space="preserve"> "market": "gold",</w:t>
        <w:br/>
        <w:t xml:space="preserve"> "severity": "medium",</w:t>
        <w:br/>
        <w:t xml:space="preserve"> "detail": "Broad geopolitics present in corpus but mostly unmapped to gold by strict alias rules; risk of sudden re-coupling if gold-specific headlines return."</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"Until &gt;=3 fresh (&lt;=72h) gold-mapped signals with coherent direction appear."</w:t>
        <w:br/>
        <w:t xml:space="preserve"> },</w:t>
        <w:br/>
        <w:t xml:space="preserve"> {</w:t>
        <w:br/>
        <w:t xml:space="preserve"> "market": "gold",</w:t>
        <w:br/>
        <w:t xml:space="preserve"> "action": "volatility_watch",</w:t>
        <w:br/>
        <w:t xml:space="preserve"> "confidence": "medium",</w:t>
        <w:br/>
        <w:t xml:space="preserve"> "trigger_condition": "If fresh gold-specific geopolitical/logistics headlines emerge within &lt;=2h (late-breaking window), reassess for kill-switch or directional break."</w:t>
        <w:br/>
        <w:t xml:space="preserve"> },</w:t>
        <w:br/>
        <w:t xml:space="preserve"> {</w:t>
        <w:br/>
        <w:t xml:space="preserve"> "market": "gold",</w:t>
        <w:br/>
        <w:t xml:space="preserve"> "action": "reversal_watch",</w:t>
        <w:br/>
        <w:t xml:space="preserve"> "confidence": "low",</w:t>
        <w:br/>
        <w:t xml:space="preserve"> "trigger_condition": "If a new, high-authority gold driver (real rates/USD/central bank flows) arrives opposing any emerging direction, flag reversal risk."</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"2026-04-12T08:00:00Z",</w:t>
        <w:br/>
        <w:t xml:space="preserve"> "bucket_end_utc": "2026-04-12T09:00:00Z",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"2026-04-12T09:00:00Z",</w:t>
        <w:br/>
        <w:t xml:space="preserve"> "bucket_end_utc": "2026-04-12T10:00:00Z",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"2026-04-12T10:00:00Z",</w:t>
        <w:br/>
        <w:t xml:space="preserve"> "bucket_end_utc": "2026-04-12T11:00:00Z",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"2026-04-12T11:00:00Z",</w:t>
        <w:br/>
        <w:t xml:space="preserve"> "bucket_end_utc": "2026-04-12T12:00:00Z",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"2026-04-12T12:00:00Z",</w:t>
        <w:br/>
        <w:t xml:space="preserve"> "bucket_end_utc": "2026-04-12T13:00:00Z",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"2026-04-12T13:00:00Z",</w:t>
        <w:br/>
        <w:t xml:space="preserve"> "bucket_end_utc": "2026-04-12T14:00:00Z",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"2026-04-12T14:00:00Z",</w:t>
        <w:br/>
        <w:t xml:space="preserve"> "bucket_end_utc": "2026-04-12T15:00:00Z",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"2026-04-12T15:00:00Z",</w:t>
        <w:br/>
        <w:t xml:space="preserve"> "bucket_end_utc": "2026-04-12T16:00:00Z",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"2026-04-12T16:00:00Z",</w:t>
        <w:br/>
        <w:t xml:space="preserve"> "bucket_end_utc": "2026-04-12T17:00:00Z",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"2026-04-12T17:00:00Z",</w:t>
        <w:br/>
        <w:t xml:space="preserve"> "bucket_end_utc": "2026-04-12T18:00:00Z",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"2026-04-12T18:00:00Z",</w:t>
        <w:br/>
        <w:t xml:space="preserve"> "bucket_end_utc": "2026-04-12T19:00:00Z",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"2026-04-12T19:00:00Z",</w:t>
        <w:br/>
        <w:t xml:space="preserve"> "bucket_end_utc": "2026-04-12T20:00:00Z",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"2026-04-12T20:00:00Z",</w:t>
        <w:br/>
        <w:t xml:space="preserve"> "bucket_end_utc": "2026-04-12T21:00:00Z",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"2026-04-12T21:00:00Z",</w:t>
        <w:br/>
        <w:t xml:space="preserve"> "bucket_end_utc": "2026-04-12T22:00:00Z",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"2026-04-12T22:00:00Z",</w:t>
        <w:br/>
        <w:t xml:space="preserve"> "bucket_end_utc": "2026-04-12T23:00:00Z",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"2026-04-12T23:00:00Z",</w:t>
        <w:br/>
        <w:t xml:space="preserve"> "bucket_end_utc": "2026-04-13T00:00:00Z",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"2026-04-13T00:00:00Z",</w:t>
        <w:br/>
        <w:t xml:space="preserve"> "bucket_end_utc": "2026-04-13T01:00:00Z",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"2026-04-13T01:00:00Z",</w:t>
        <w:br/>
        <w:t xml:space="preserve"> "bucket_end_utc": "2026-04-13T02:00:00Z",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"2026-04-13T02:00:00Z",</w:t>
        <w:br/>
        <w:t xml:space="preserve"> "bucket_end_utc": "2026-04-13T03:00:00Z",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"2026-04-13T03:00:00Z",</w:t>
        <w:br/>
        <w:t xml:space="preserve"> "bucket_end_utc": "2026-04-13T04:00:00Z",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"2026-04-13T04:00:00Z",</w:t>
        <w:br/>
        <w:t xml:space="preserve"> "bucket_end_utc": "2026-04-13T05:00:00Z",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"2026-04-13T05:00:00Z",</w:t>
        <w:br/>
        <w:t xml:space="preserve"> "bucket_end_utc": "2026-04-13T06:00:00Z",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"2026-04-13T06:00:00Z",</w:t>
        <w:br/>
        <w:t xml:space="preserve"> "bucket_end_utc": "2026-04-13T07:00:00Z",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"bucket_start_utc": "2026-04-13T07:00:00Z",</w:t>
        <w:br/>
        <w:t xml:space="preserve"> "bucket_end_utc": "2026-04-13T08:00:00Z",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locked to single_market=gold (explicit).",</w:t>
        <w:br/>
        <w:t xml:space="preserve"> "Gold-mapped admitted items were limited and stale; min_evidence_threshold=3 not met for gold-specific, horizon-relevant signals.",</w:t>
        <w:br/>
        <w:t xml:space="preserve"> "Most corpus trends were geopolitical but did not contain gold/xau/bullion aliases; unmapped_signal_count_high (geopolitics retained only as contextual risk, not as gold-direction evidence).",</w:t>
        <w:br/>
        <w:t xml:space="preserve"> "Timeseries buckets show no gold-mapped evidence in last 24h window; conservative neutral buckets emitted."</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