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2026-04-02 00:00 UTC [KJRQ]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data_sparsity</w:t>
      </w:r>
      <w:r/>
    </w:p>
    <w:p>
      <w:pPr>
        <w:pStyle w:val="ListBullet"/>
        <w:spacing w:line="240" w:lineRule="auto"/>
        <w:ind w:left="720"/>
      </w:pPr>
      <w:r/>
      <w:r>
        <w:t>generated_at: 2026-04-02T00:00:00Z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Gold futures are likely to remain rangebound/mixed over the next 6h because the admitted gold-specific evidence is stale and below the minimum evidence threshold.</w:t>
            </w:r>
          </w:p>
        </w:tc>
        <w:tc>
          <w:tcPr>
            <w:tcW w:type="dxa" w:w="1040"/>
          </w:tcPr>
          <w:p>
            <w:r>
              <w:t>56</w:t>
            </w:r>
          </w:p>
        </w:tc>
        <w:tc>
          <w:tcPr>
            <w:tcW w:type="dxa" w:w="1040"/>
          </w:tcPr>
          <w:p>
            <w:r>
              <w:t>mixed</w:t>
            </w:r>
          </w:p>
        </w:tc>
        <w:tc>
          <w:tcPr>
            <w:tcW w:type="dxa" w:w="1040"/>
          </w:tcPr>
          <w:p>
            <w:r>
              <w:t>fading</w:t>
            </w:r>
          </w:p>
        </w:tc>
        <w:tc>
          <w:tcPr>
            <w:tcW w:type="dxa" w:w="1040"/>
          </w:tcPr>
          <w:p>
            <w:r>
              <w:t>6h</w:t>
            </w:r>
          </w:p>
        </w:tc>
        <w:tc>
          <w:tcPr>
            <w:tcW w:type="dxa" w:w="1040"/>
          </w:tcPr>
          <w:p>
            <w:r>
              <w:t>false</w:t>
            </w:r>
          </w:p>
        </w:tc>
        <w:tc>
          <w:tcPr>
            <w:tcW w:type="dxa" w:w="1040"/>
          </w:tcPr>
          <w:p>
            <w:r>
              <w:t>74</w:t>
            </w:r>
          </w:p>
        </w:tc>
      </w:tr>
      <w:tr>
        <w:tc>
          <w:tcPr>
            <w:tcW w:type="dxa" w:w="1040"/>
          </w:tcPr>
          <w:p>
            <w:r>
              <w:t>gold</w:t>
            </w:r>
          </w:p>
        </w:tc>
        <w:tc>
          <w:tcPr>
            <w:tcW w:type="dxa" w:w="1040"/>
          </w:tcPr>
          <w:p>
            <w:r>
              <w:t>B-gold-002</w:t>
            </w:r>
          </w:p>
        </w:tc>
        <w:tc>
          <w:tcPr>
            <w:tcW w:type="dxa" w:w="1040"/>
          </w:tcPr>
          <w:p>
            <w:r>
              <w:t>Residual (stale) disruption/traceability narratives around physical gold flow may bias risk premia upward, but the effect is not currently reinforced by fresh multi-source evidence.</w:t>
            </w:r>
          </w:p>
        </w:tc>
        <w:tc>
          <w:tcPr>
            <w:tcW w:type="dxa" w:w="1040"/>
          </w:tcPr>
          <w:p>
            <w:r>
              <w:t>52</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74</w:t>
            </w:r>
          </w:p>
        </w:tc>
      </w:tr>
    </w:tbl>
    <w:p>
      <w:r/>
    </w:p>
    <w:p>
      <w:pPr>
        <w:pStyle w:val="Heading2"/>
      </w:pPr>
      <w:r>
        <w:t>Data Dump (Machine Use)</w:t>
      </w:r>
      <w:r/>
    </w:p>
    <w:p>
      <w:r/>
      <w:r>
        <w:rPr>
          <w:rFonts w:ascii="Courier" w:hAnsi="Courier"/>
        </w:rPr>
        <w:t>{</w:t>
        <w:br/>
        <w:t xml:space="preserve"> "workflow_6B_CIS_output": {</w:t>
        <w:br/>
        <w:t xml:space="preserve"> "snapshot_id": "6B-gold-20260402T000000Z",</w:t>
        <w:br/>
        <w:t xml:space="preserve"> "timestamp_utc": "2026-04-02T00:00:00Z",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26,</w:t>
        <w:br/>
        <w:t xml:space="preserve"> "headline_fragility_score_0_100": 74,</w:t>
        <w:br/>
        <w:t xml:space="preserve"> "headline_authority_confirmation_score_0_100": 34,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"B-gold-001",</w:t>
        <w:br/>
        <w:t xml:space="preserve"> "market": "gold",</w:t>
        <w:br/>
        <w:t xml:space="preserve"> "claim": "Gold futures are likely to remain rangebound/mixed over the next 6h because the admitted gold-specific evidence is stale and below the minimum evidence threshold.",</w:t>
        <w:br/>
        <w:t xml:space="preserve"> "probability_pct": 56,</w:t>
        <w:br/>
        <w:t xml:space="preserve"> "direction": "mixed",</w:t>
        <w:br/>
        <w:t xml:space="preserve"> "velocity": "fading",</w:t>
        <w:br/>
        <w:t xml:space="preserve"> "horizon": "6h",</w:t>
        <w:br/>
        <w:t xml:space="preserve"> "drivers": [</w:t>
        <w:br/>
        <w:t xml:space="preserve"> "data_sparsity_in_last_24h",</w:t>
        <w:br/>
        <w:t xml:space="preserve"> "stale_gold_specific_catalysts_gt_72h"</w:t>
        <w:br/>
        <w:t xml:space="preserve"> ],</w:t>
        <w:br/>
        <w:t xml:space="preserve"> "contradicted_by": [],</w:t>
        <w:br/>
        <w:t xml:space="preserve"> "directional_confidence_score_0_100": 24,</w:t>
        <w:br/>
        <w:t xml:space="preserve"> "authority_confirmation_score_0_100": 30,</w:t>
        <w:br/>
        <w:t xml:space="preserve"> "authority_confirmation_band": "low"</w:t>
        <w:br/>
        <w:t xml:space="preserve"> },</w:t>
        <w:br/>
        <w:t xml:space="preserve"> {</w:t>
        <w:br/>
        <w:t xml:space="preserve"> "belief_id": "B-gold-002",</w:t>
        <w:br/>
        <w:t xml:space="preserve"> "market": "gold",</w:t>
        <w:br/>
        <w:t xml:space="preserve"> "claim": "Residual (stale) disruption/traceability narratives around physical gold flow may bias risk premia upward, but the effect is not currently reinforced by fresh multi-source evidence.",</w:t>
        <w:br/>
        <w:t xml:space="preserve"> "probability_pct": 52,</w:t>
        <w:br/>
        <w:t xml:space="preserve"> "direction": "up",</w:t>
        <w:br/>
        <w:t xml:space="preserve"> "velocity": "fading",</w:t>
        <w:br/>
        <w:t xml:space="preserve"> "horizon": "24h",</w:t>
        <w:br/>
        <w:t xml:space="preserve"> "drivers": [</w:t>
        <w:br/>
        <w:t xml:space="preserve"> "physical_flow_disruption_risk",</w:t>
        <w:br/>
        <w:t xml:space="preserve"> "traceability_trade_friction_risk"</w:t>
        <w:br/>
        <w:t xml:space="preserve"> ],</w:t>
        <w:br/>
        <w:t xml:space="preserve"> "contradicted_by": [],</w:t>
        <w:br/>
        <w:t xml:space="preserve"> "directional_confidence_score_0_100": 22,</w:t>
        <w:br/>
        <w:t xml:space="preserve"> "authority_confirmation_score_0_100": 38,</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18,</w:t>
        <w:br/>
        <w:t xml:space="preserve"> "conviction_score_0_100": 26,</w:t>
        <w:br/>
        <w:t xml:space="preserve"> "authority_confirmation_score_0_100": 34,</w:t>
        <w:br/>
        <w:t xml:space="preserve"> "authority_confirmation_band": "low",</w:t>
        <w:br/>
        <w:t xml:space="preserve"> "freshness_confidence": "low",</w:t>
        <w:br/>
        <w:t xml:space="preserve"> "catalyst_type": "background_persistent",</w:t>
        <w:br/>
        <w:t xml:space="preserve"> "stale_suppression_applied": true,</w:t>
        <w:br/>
        <w:t xml:space="preserve"> "thesis_kill_switch": false,</w:t>
        <w:br/>
        <w:t xml:space="preserve"> "late_breaking_alert": false,</w:t>
        <w:br/>
        <w:t xml:space="preserve"> "fragility_score_0_100": 74,</w:t>
        <w:br/>
        <w:t xml:space="preserve"> "supporting_belief_ids": [</w:t>
        <w:br/>
        <w:t xml:space="preserve"> "B-gold-001",</w:t>
        <w:br/>
        <w:t xml:space="preserve"> "B-gold-002"</w:t>
        <w:br/>
        <w:t xml:space="preserve"> ],</w:t>
        <w:br/>
        <w:t xml:space="preserve"> "source_tier_counts": {</w:t>
        <w:br/>
        <w:t xml:space="preserve"> "A": 1,</w:t>
        <w:br/>
        <w:t xml:space="preserve"> "B": 0,</w:t>
        <w:br/>
        <w:t xml:space="preserve"> "C": 0,</w:t>
        <w:br/>
        <w:t xml:space="preserve"> "D": 1,</w:t>
        <w:br/>
        <w:t xml:space="preserve"> "U": 0</w:t>
        <w:br/>
        <w:t xml:space="preserve"> },</w:t>
        <w:br/>
        <w:t xml:space="preserve"> "freshness_mix": {</w:t>
        <w:br/>
        <w:t xml:space="preserve"> "fresh_0_6h": 0,</w:t>
        <w:br/>
        <w:t xml:space="preserve"> "fresh_6_24h": 0,</w:t>
        <w:br/>
        <w:t xml:space="preserve"> "fresh_24_72h": 0,</w:t>
        <w:br/>
        <w:t xml:space="preserve"> "stale_gt_72h": 2,</w:t>
        <w:br/>
        <w:t xml:space="preserve"> "last_gold_specific_evidence_utc": "2026-03-09T05:56:54Z"</w:t>
        <w:br/>
        <w:t xml:space="preserve"> }</w:t>
        <w:br/>
        <w:t xml:space="preserve"> }</w:t>
        <w:br/>
        <w:t xml:space="preserve"> ],</w:t>
        <w:br/>
        <w:t xml:space="preserve"> "risk_flags": [</w:t>
        <w:br/>
        <w:t xml:space="preserve"> {</w:t>
        <w:br/>
        <w:t xml:space="preserve"> "flag": "data_sparsity",</w:t>
        <w:br/>
        <w:t xml:space="preserve"> "severity": "high",</w:t>
        <w:br/>
        <w:t xml:space="preserve"> "market": "gold",</w:t>
        <w:br/>
        <w:t xml:space="preserve"> "details": "Gold-mapped evidence admitted &lt; min_evidence_threshold (3). Direction suppressed to neutral_mixed."</w:t>
        <w:br/>
        <w:t xml:space="preserve"> },</w:t>
        <w:br/>
        <w:t xml:space="preserve"> {</w:t>
        <w:br/>
        <w:t xml:space="preserve"> "flag": "stale_context_overhang",</w:t>
        <w:br/>
        <w:t xml:space="preserve"> "severity": "high",</w:t>
        <w:br/>
        <w:t xml:space="preserve"> "market": "gold",</w:t>
        <w:br/>
        <w:t xml:space="preserve"> "details": "Most gold-specific signals are &gt;72h old; recency-weighting strongly downweighted them."</w:t>
        <w:br/>
        <w:t xml:space="preserve"> },</w:t>
        <w:br/>
        <w:t xml:space="preserve"> {</w:t>
        <w:br/>
        <w:t xml:space="preserve"> "flag": "cross_market_noise",</w:t>
        <w:br/>
        <w:t xml:space="preserve"> "severity": "medium",</w:t>
        <w:br/>
        <w:t xml:space="preserve"> "market": "gold",</w:t>
        <w:br/>
        <w:t xml:space="preserve"> "details": "Large geopolitical/energy corpus present but not confidently mappable to gold under alias rules; may still influence gold indirectly."</w:t>
        <w:br/>
        <w:t xml:space="preserve"> }</w:t>
        <w:br/>
        <w:t xml:space="preserve"> ],</w:t>
        <w:br/>
        <w:t xml:space="preserve"> "candidate_actions": [</w:t>
        <w:br/>
        <w:t xml:space="preserve"> {</w:t>
        <w:br/>
        <w:t xml:space="preserve"> "market": "gold",</w:t>
        <w:br/>
        <w:t xml:space="preserve"> "confidence": "high",</w:t>
        <w:br/>
        <w:t xml:space="preserve"> "action": "stay_flat",</w:t>
        <w:br/>
        <w:t xml:space="preserve"> "trigger_condition": "Remain in neutral label-state while admitted gold evidence remains below threshold or stale (&gt;72h)."</w:t>
        <w:br/>
        <w:t xml:space="preserve"> },</w:t>
        <w:br/>
        <w:t xml:space="preserve"> {</w:t>
        <w:br/>
        <w:t xml:space="preserve"> "market": "gold",</w:t>
        <w:br/>
        <w:t xml:space="preserve"> "confidence": "medium",</w:t>
        <w:br/>
        <w:t xml:space="preserve"> "action": "volatility_watch",</w:t>
        <w:br/>
        <w:t xml:space="preserve"> "trigger_condition": "Enable if 2+ independent gold-specific records appear within 2h (late-breaking), or if contradiction ratio rises on fresh gold-mapped items."</w:t>
        <w:br/>
        <w:t xml:space="preserve"> },</w:t>
        <w:br/>
        <w:t xml:space="preserve"> {</w:t>
        <w:br/>
        <w:t xml:space="preserve"> "market": "gold",</w:t>
        <w:br/>
        <w:t xml:space="preserve"> "confidence": "medium",</w:t>
        <w:br/>
        <w:t xml:space="preserve"> "action": "reversal_watch",</w:t>
        <w:br/>
        <w:t xml:space="preserve"> "trigger_condition": "Enable if fresh, opposing gold-specific evidence appears within 2h and materially exceeds current net directional mass (kill-switch sentinel conditions)."</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"2026-04-01T00:00:00Z",</w:t>
        <w:br/>
        <w:t xml:space="preserve"> "bucket_end_utc": "2026-04-01T01:00:00Z",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"2026-04-01T01:00:00Z",</w:t>
        <w:br/>
        <w:t xml:space="preserve"> "bucket_end_utc": "2026-04-01T02:00:00Z",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"2026-04-01T02:00:00Z",</w:t>
        <w:br/>
        <w:t xml:space="preserve"> "bucket_end_utc": "2026-04-01T03:00:00Z",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"2026-04-01T03:00:00Z",</w:t>
        <w:br/>
        <w:t xml:space="preserve"> "bucket_end_utc": "2026-04-01T04:00:00Z",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"2026-04-01T04:00:00Z",</w:t>
        <w:br/>
        <w:t xml:space="preserve"> "bucket_end_utc": "2026-04-01T05:00:00Z",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"2026-04-01T05:00:00Z",</w:t>
        <w:br/>
        <w:t xml:space="preserve"> "bucket_end_utc": "2026-04-01T06:00:00Z",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"2026-04-01T06:00:00Z",</w:t>
        <w:br/>
        <w:t xml:space="preserve"> "bucket_end_utc": "2026-04-01T07:00:00Z",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"2026-04-01T07:00:00Z",</w:t>
        <w:br/>
        <w:t xml:space="preserve"> "bucket_end_utc": "2026-04-01T08:00:00Z",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"2026-04-01T08:00:00Z",</w:t>
        <w:br/>
        <w:t xml:space="preserve"> "bucket_end_utc": "2026-04-01T09:00:00Z",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"2026-04-01T09:00:00Z",</w:t>
        <w:br/>
        <w:t xml:space="preserve"> "bucket_end_utc": "2026-04-01T10:00:00Z",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"2026-04-01T10:00:00Z",</w:t>
        <w:br/>
        <w:t xml:space="preserve"> "bucket_end_utc": "2026-04-01T11:00:00Z",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"2026-04-01T11:00:00Z",</w:t>
        <w:br/>
        <w:t xml:space="preserve"> "bucket_end_utc": "2026-04-01T12:00:00Z",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"2026-04-01T12:00:00Z",</w:t>
        <w:br/>
        <w:t xml:space="preserve"> "bucket_end_utc": "2026-04-01T13:00:00Z",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"2026-04-01T13:00:00Z",</w:t>
        <w:br/>
        <w:t xml:space="preserve"> "bucket_end_utc": "2026-04-01T14:00:00Z",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"2026-04-01T14:00:00Z",</w:t>
        <w:br/>
        <w:t xml:space="preserve"> "bucket_end_utc": "2026-04-01T15:00:00Z",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"2026-04-01T15:00:00Z",</w:t>
        <w:br/>
        <w:t xml:space="preserve"> "bucket_end_utc": "2026-04-01T16:00:00Z",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"2026-04-01T16:00:00Z",</w:t>
        <w:br/>
        <w:t xml:space="preserve"> "bucket_end_utc": "2026-04-01T17:00:00Z",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"2026-04-01T17:00:00Z",</w:t>
        <w:br/>
        <w:t xml:space="preserve"> "bucket_end_utc": "2026-04-01T18:00:00Z",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"2026-04-01T18:00:00Z",</w:t>
        <w:br/>
        <w:t xml:space="preserve"> "bucket_end_utc": "2026-04-01T19:00:00Z",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"2026-04-01T19:00:00Z",</w:t>
        <w:br/>
        <w:t xml:space="preserve"> "bucket_end_utc": "2026-04-01T20:00:00Z",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"2026-04-01T20:00:00Z",</w:t>
        <w:br/>
        <w:t xml:space="preserve"> "bucket_end_utc": "2026-04-01T21:00:00Z",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"2026-04-01T21:00:00Z",</w:t>
        <w:br/>
        <w:t xml:space="preserve"> "bucket_end_utc": "2026-04-01T22:00:00Z",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"2026-04-01T22:00:00Z",</w:t>
        <w:br/>
        <w:t xml:space="preserve"> "bucket_end_utc": "2026-04-01T23:00:00Z",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"2026-04-01T23:00:00Z",</w:t>
        <w:br/>
        <w:t xml:space="preserve"> "bucket_end_utc": "2026-04-02T00:00:00Z",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12,</w:t>
        <w:br/>
        <w:t xml:space="preserve"> "trends_admitted": 0,</w:t>
        <w:br/>
        <w:t xml:space="preserve"> "cross_domain_merges": 0,</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"Gold-specific admitted evidence primarily from VIP lane items dated 2026-03-08 to 2026-03-09; as of 2026-04-02 this is stale (&gt;72h), triggering stale suppression.",</w:t>
        <w:br/>
        <w:t xml:space="preserve"> "Gold-mapped evidence count below min_evidence_threshold=3; directional state held at neutral_mixed per suppress_direction_if_degraded=true.",</w:t>
        <w:br/>
        <w:t xml:space="preserve"> "Prior state not provided via trend_state_memory; state_change set to unchanged as conservative default."</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