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2026-03-27 23:30 UTC [JXVR]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2026-03-27T23:30:00Z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backdrop provides residual safe-haven support for gold, but the evidence set is largely stale (early March) and lacks fresh confirmation in the last 24h.</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82</w:t>
            </w:r>
          </w:p>
        </w:tc>
      </w:tr>
      <w:tr>
        <w:tc>
          <w:tcPr>
            <w:tcW w:type="dxa" w:w="1040"/>
          </w:tcPr>
          <w:p>
            <w:r>
              <w:t>gold</w:t>
            </w:r>
          </w:p>
        </w:tc>
        <w:tc>
          <w:tcPr>
            <w:tcW w:type="dxa" w:w="1040"/>
          </w:tcPr>
          <w:p>
            <w:r>
              <w:t>B-GOLD-002</w:t>
            </w:r>
          </w:p>
        </w:tc>
        <w:tc>
          <w:tcPr>
            <w:tcW w:type="dxa" w:w="1040"/>
          </w:tcPr>
          <w:p>
            <w:r>
              <w:t>Near-term gold direction is more likely to be range/mixed than trend-driven because the current corpus is dominated by background narratives without fresh acceleration.</w:t>
            </w:r>
          </w:p>
        </w:tc>
        <w:tc>
          <w:tcPr>
            <w:tcW w:type="dxa" w:w="1040"/>
          </w:tcPr>
          <w:p>
            <w:r>
              <w:t>62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82</w:t>
            </w:r>
          </w:p>
        </w:tc>
      </w:tr>
    </w:tbl>
    <w:p>
      <w:r/>
    </w:p>
    <w:p>
      <w:pPr>
        <w:pStyle w:val="Heading2"/>
      </w:pPr>
      <w:r>
        <w:t>Data Dump (Machine Use)</w:t>
      </w:r>
      <w:r/>
    </w:p>
    <w:p>
      <w:r/>
      <w:r>
        <w:t>{ "workflow_6B_CIS_output": { "snapshot_id": "6B-gold-20260327T233000Z", "timestamp_utc": "2026-03-27T23:30:00Z", "primary_asset_focus": { "name": "Gold futures", "market_code": "gold" }, "headline_sentiment_word": "Fragile", "headline_conviction_score_0_100": 42, "headline_fragility_score_0_100": 82, "headline_authority_confirmation_score_0_100": 52, "commodity_registry": [ "crude_oil", "gold", "natural_gas", "copper", "silver", "wheat", "corn", "uranium", "lithium", "coffee" ], "target_market_code": "gold", "target_resolution_source": "explicit", "scope_mode": "single_market", "analyzed_markets": [ "gold" ], "regime_state": "unstable", "beliefs": [ { "belief_id": "B-GOLD-001", "market": "gold", "claim": "Geopolitical-risk backdrop provides residual safe-haven support for gold, but the evidence set is largely stale (early March) and lacks fresh confirmation in the last 24h.", "probability_pct": 55, "direction": "up", "velocity": "fading", "horizon": "24h", "drivers": [ "geopolitical_risk", "risk_aversion_flow" ], "contradicted_by": [ "No fresh (0\u201324h) corroborating macro/flow signals in the admitted corpus", "High staleness dominance (&gt;72h) in the admitted trend set" ], "directional_confidence_score_0_100": 44, "authority_confirmation_score_0_100": 52, "authority_confirmation_band": "medium" }, { "belief_id": "B-GOLD-002", "market": "gold", "claim": "Near-term gold direction is more likely to be range/mixed than trend-driven because the current corpus is dominated by background narratives without fresh acceleration.", "probability_pct": 62, "direction": "mixed", "velocity": "stable", "horizon": "6h", "drivers": [ "data_sparsity", "stale_context_overhang" ], "contradicted_by": [ "Any sustained fresh escalation cluster with multiple independent sources could reintroduce a clearer directional bias" ], "directional_confidence_score_0_100": 46, "authority_confirmation_score_0_100": 40, "authority_confirmation_band": "low" } ], "market_state_table": [ { "market": "gold", "directional_state": "neutral_mixed", "momentum_state": "weakening", "reversal_risk": "medium", "state_change": "unchanged", "directional_mass_score_0_100": 47, "conviction_score_0_100": 42, "authority_confirmation_score_0_100": 52, "authority_confirmation_band": "medium", "freshness_confidence": "low", "catalyst_type": "background_persistent", "stale_suppression_applied": true, "thesis_kill_switch": false, "late_breaking_alert": false, "fragility_score_0_100": 82, "supporting_belief_ids": [ "B-GOLD-001", "B-GOLD-002" ], "source_tier_counts": { "A": 18, "B": 2, "C": 1, "D": 29, "U": 0 }, "freshness_mix": { "fresh_0_6h": 0, "fresh_6_24h": 0, "fresh_24_72h": 0, "stale_gt_72h": 6, "seed_level_only_0_24h": 1 } } ], "risk_flags": [ { "flag": "stale_context_overhang", "severity": "high", "markets": [ "gold" ], "detail": "Most admitted supporting narratives timestamp to 2026-03-04 through 2026-03-09 (&gt;72h stale vs snapshot 2026-03-27)." }, { "flag": "data_sparsity", "severity": "high", "markets": [ "gold" ], "detail": "No materialised fresh evidence records in the last 24h; only a seed-level risk anomaly appears late on 2026-03-27." }, { "flag": "recency_flip_risk", "severity": "medium", "markets": [ "gold" ], "detail": "Any new macro driver (real rates / USD) or escalation headline cluster could rapidly change direction from the current neutral-mixed baseline." }, { "flag": "narrative_whipsaw", "severity": "medium", "markets": [ "gold" ], "detail": "Background geopolitical narrative is persistent but dormant; low freshness increases whipsaw risk when new headlines arrive." } ], "candidate_actions": [ { "market": "gold", "confidence": "high", "action_label": "stay_flat", "trigger_condition": "Remain in neutral stance while freshness_confidence=low and no multi-source fresh directional evidence appears." }, { "market": "gold", "confidence": "medium", "action_label": "volatility_watch", "trigger_condition": "Escalation headlines (2+ independent sources within 6h) or a sudden macro regime shift increases intraday volatility risk." }, { "market": "gold", "confidence": "medium", "action_label": "watch_long_bias", "trigger_condition": "If a fresh escalation cluster emerges (&lt;=24h) AND corroborating safe-haven flow/central-bank/ETF flow signals appear, then bullish bias watch becomes active." }, { "market": "gold", "confidence": "low", "action_label": "reversal_watch", "trigger_condition": "If the next cycle introduces fresh counter-directional macro evidence (e.g., strong USD / rising real rates cluster) while geopolitics de-escalates, reversal risk rises." }, { "market": "gold", "confidence": "medium", "action_label": "hard_de_risk_watch", "trigger_condition": "If late-breaking high-trust opposing signals appear within &lt;=2h (kill-switch criteria), de-risk watch triggers due to elevated fragility." } ], "paper_trade_signal_pack": { "bullish_markets": [], "bearish_markets": [], "neutral_mixed_markets": [ "gold" ], "high_reversal_risk_markets": [] }, "signal_timeseries": { "resolution": "1h", "lookback_hours": 24, "bucket_timezone": "UTC", "buckets": [ { "bucket_start_utc": "2026-03-26T23:00:00Z", "bucket_end_utc": "2026-03-27T00:00:00Z",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"2026-03-27T00:00:00Z", "bucket_end_utc": "2026-03-27T01:00:00Z",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"2026-03-27T01:00:00Z", "bucket_end_utc": "2026-03-27T02:00:00Z",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"2026-03-27T02:00:00Z", "bucket_end_utc": "2026-03-27T03:00:00Z",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"2026-03-27T03:00:00Z", "bucket_end_utc": "2026-03-27T04:00:00Z",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"2026-03-27T04:00:00Z", "bucket_end_utc": "2026-03-27T05:00:00Z",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"2026-03-27T05:00:00Z", "bucket_end_utc": "2026-03-27T06:00:00Z",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"2026-03-27T06:00:00Z", "bucket_end_utc": "2026-03-27T07:00:00Z",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"2026-03-27T07:00:00Z", "bucket_end_utc": "2026-03-27T08:00:00Z",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"2026-03-27T08:00:00Z", "bucket_end_utc": "2026-03-27T09:00:00Z",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"2026-03-27T09:00:00Z", "bucket_end_utc": "2026-03-27T10:00:00Z",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"2026-03-27T10:00:00Z", "bucket_end_utc": "2026-03-27T11:00:00Z",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"2026-03-27T11:00:00Z", "bucket_end_utc": "2026-03-27T12:00:00Z",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"2026-03-27T12:00:00Z", "bucket_end_utc": "2026-03-27T13:00:00Z",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"2026-03-27T13:00:00Z", "bucket_end_utc": "2026-03-27T14:00:00Z",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"2026-03-27T14:00:00Z", "bucket_end_utc": "2026-03-27T15:00:00Z",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"2026-03-27T15:00:00Z", "bucket_end_utc": "2026-03-27T16:00:00Z",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"2026-03-27T16:00:00Z", "bucket_end_utc": "2026-03-27T17:00:00Z",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"2026-03-27T17:00:00Z", "bucket_end_utc": "2026-03-27T18:00:00Z",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"2026-03-27T18:00:00Z", "bucket_end_utc": "2026-03-27T19:00:00Z",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"2026-03-27T19:00:00Z", "bucket_end_utc": "2026-03-27T20:00:00Z",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"2026-03-27T20:00:00Z", "bucket_end_utc": "2026-03-27T21:00:00Z",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"2026-03-27T21:00:00Z", "bucket_end_utc": "2026-03-27T22:00:00Z",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"2026-03-27T22:00:00Z", "bucket_end_utc": "2026-03-27T23:00:00Z",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"2026-03-27T23:00:00Z", "bucket_end_utc": "2026-03-28T00:00:00Z", "directional_score_signed": 10, "bullish_pressure_score": 12, "bearish_pressure_score": 2, "net_sentiment_score": 10, "velocity_score": 10, "acceleration_score": 10, "contradiction_ratio": 0.05, "fresh_evidence_count": 1, "stale_evidence_count": 0, "conviction_score_0_100": 28, "fragility_score_0_100": 88, "dominant_state": "neutral_mixed" } ] }, "recent_half_hour_overlay": { "enabled": false, "resolution": "30m", "lookback_hours": 6, "buckets": [] }, "summary": { "timeseries_peak_bullish": 10, "timeseries_peak_bearish": 0, "latest_inflection_direction": "up", "latest_inflection_strength": 10, "signal_regime": "mixed_flat" }, "diagnostics": { "conviction_policy_used": "balanced", "trends_seen": 12, "trends_admitted": 6, "cross_domain_merges": 2, "stale_suppression_count": 6, "reversal_flags_count": 0, "late_breaking_alerts_count": 0, "kill_switch_markets_count": 0, "strong_mass_low_authority_cycles": 0, "timeseries_bucket_count": 24, "timeseries_overlay_bucket_count": 0, "target_market_custom": false, "target_market_unresolved": false, "input_gate_degraded": true, "notes": [ "Target market resolved explicitly as 'gold' from flight_plan.", "Directional synthesis suppressed toward neutral due to staleness dominance (&gt;72h) and lack of fresh (0\u201324h) corroborating evidence records.", "One late-cycle seed-level risk anomaly (2026-03-27) treated as minimal weight; not sufficient to establish a new directional regime." ] }, "completion_state": "ready_for_workflow_8B" }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