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2026-03-22 16:00 UTC [QZRV] | Fragile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RF-data-sparsity (high)</w:t>
      </w:r>
      <w:r/>
    </w:p>
    <w:p>
      <w:pPr>
        <w:pStyle w:val="ListBullet"/>
        <w:spacing w:line="240" w:lineRule="auto"/>
        <w:ind w:left="720"/>
      </w:pPr>
      <w:r/>
      <w:r>
        <w:t>generated_at: 2026-03-22T16:00:00Z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B-gold-01</w:t>
            </w:r>
          </w:p>
        </w:tc>
        <w:tc>
          <w:tcPr>
            <w:tcW w:type="dxa" w:w="1040"/>
          </w:tcPr>
          <w:p>
            <w:r>
              <w:t>Gold futures near-term direction is neutral/mixed because there is insufficient fresh, gold-mapped evidence to support a directional call.</w:t>
            </w:r>
          </w:p>
        </w:tc>
        <w:tc>
          <w:tcPr>
            <w:tcW w:type="dxa" w:w="1040"/>
          </w:tcPr>
          <w:p>
            <w:r>
              <w:t>62</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76</w:t>
            </w:r>
          </w:p>
        </w:tc>
      </w:tr>
      <w:tr>
        <w:tc>
          <w:tcPr>
            <w:tcW w:type="dxa" w:w="1040"/>
          </w:tcPr>
          <w:p>
            <w:r>
              <w:t>gold</w:t>
            </w:r>
          </w:p>
        </w:tc>
        <w:tc>
          <w:tcPr>
            <w:tcW w:type="dxa" w:w="1040"/>
          </w:tcPr>
          <w:p>
            <w:r>
              <w:t>B-gold-02</w:t>
            </w:r>
          </w:p>
        </w:tc>
        <w:tc>
          <w:tcPr>
            <w:tcW w:type="dxa" w:w="1040"/>
          </w:tcPr>
          <w:p>
            <w:r>
              <w:t>Gold futures conviction remains low over the next 24h as current inputs are dominated by single-source / low-diversity gold-related items and lack corroborated fresh follow-through.</w:t>
            </w:r>
          </w:p>
        </w:tc>
        <w:tc>
          <w:tcPr>
            <w:tcW w:type="dxa" w:w="1040"/>
          </w:tcPr>
          <w:p>
            <w:r>
              <w:t>60</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76</w:t>
            </w:r>
          </w:p>
        </w:tc>
      </w:tr>
    </w:tbl>
    <w:p>
      <w:r/>
    </w:p>
    <w:p>
      <w:pPr>
        <w:pStyle w:val="Heading2"/>
      </w:pPr>
      <w:r>
        <w:t>Data Dump (Machine Use)</w:t>
      </w:r>
      <w:r/>
    </w:p>
    <w:p>
      <w:r/>
      <w:r>
        <w:rPr>
          <w:rFonts w:ascii="Courier" w:hAnsi="Courier"/>
        </w:rPr>
        <w:t>{</w:t>
        <w:br/>
        <w:t xml:space="preserve"> "workflow_6B_CIS_output": {</w:t>
        <w:br/>
        <w:t xml:space="preserve"> "snapshot_id": "6B_CIS_gold_20260322T160000Z",</w:t>
        <w:br/>
        <w:t xml:space="preserve"> "timestamp_utc": "2026-03-22T16:00:00Z",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22,</w:t>
        <w:br/>
        <w:t xml:space="preserve"> "headline_fragility_score_0_100": 76,</w:t>
        <w:br/>
        <w:t xml:space="preserve"> "headline_authority_confirmation_score_0_100": 10,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"B-gold-01",</w:t>
        <w:br/>
        <w:t xml:space="preserve"> "market": "gold",</w:t>
        <w:br/>
        <w:t xml:space="preserve"> "claim": "Gold futures near-term direction is neutral/mixed because there is insufficient fresh, gold-mapped evidence to support a directional call.",</w:t>
        <w:br/>
        <w:t xml:space="preserve"> "probability_pct": 62,</w:t>
        <w:br/>
        <w:t xml:space="preserve"> "direction": "mixed",</w:t>
        <w:br/>
        <w:t xml:space="preserve"> "velocity": "fading",</w:t>
        <w:br/>
        <w:t xml:space="preserve"> "horizon": "6h",</w:t>
        <w:br/>
        <w:t xml:space="preserve"> "drivers": [</w:t>
        <w:br/>
        <w:t xml:space="preserve"> "data_sparsity_in_gold-mapped_signals",</w:t>
        <w:br/>
        <w:t xml:space="preserve"> "stale_signal_overhang_from_older_gold-related_items"</w:t>
        <w:br/>
        <w:t xml:space="preserve"> ],</w:t>
        <w:br/>
        <w:t xml:space="preserve"> "contradicted_by": [],</w:t>
        <w:br/>
        <w:t xml:space="preserve"> "directional_confidence_score_0_100": 28,</w:t>
        <w:br/>
        <w:t xml:space="preserve"> "authority_confirmation_score_0_100": 10,</w:t>
        <w:br/>
        <w:t xml:space="preserve"> "authority_confirmation_band": "low"</w:t>
        <w:br/>
        <w:t xml:space="preserve"> },</w:t>
        <w:br/>
        <w:t xml:space="preserve"> {</w:t>
        <w:br/>
        <w:t xml:space="preserve"> "belief_id": "B-gold-02",</w:t>
        <w:br/>
        <w:t xml:space="preserve"> "market": "gold",</w:t>
        <w:br/>
        <w:t xml:space="preserve"> "claim": "Gold futures conviction remains low over the next 24h as current inputs are dominated by single-source / low-diversity gold-related items and lack corroborated fresh follow-through.",</w:t>
        <w:br/>
        <w:t xml:space="preserve"> "probability_pct": 60,</w:t>
        <w:br/>
        <w:t xml:space="preserve"> "direction": "flat",</w:t>
        <w:br/>
        <w:t xml:space="preserve"> "velocity": "fading",</w:t>
        <w:br/>
        <w:t xml:space="preserve"> "horizon": "24h",</w:t>
        <w:br/>
        <w:t xml:space="preserve"> "drivers": [</w:t>
        <w:br/>
        <w:t xml:space="preserve"> "single_source_concentration_risk_in_gold-specific_items",</w:t>
        <w:br/>
        <w:t xml:space="preserve"> "lack_of_fresh_correlated_macro_inputs_in_feed (real_rates/usd/etf_flows not directly evidenced)"</w:t>
        <w:br/>
        <w:t xml:space="preserve"> ],</w:t>
        <w:br/>
        <w:t xml:space="preserve"> "contradicted_by": [],</w:t>
        <w:br/>
        <w:t xml:space="preserve"> "directional_confidence_score_0_100": 26,</w:t>
        <w:br/>
        <w:t xml:space="preserve"> "authority_confirmation_score_0_100": 10,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28,</w:t>
        <w:br/>
        <w:t xml:space="preserve"> "conviction_score_0_100": 22,</w:t>
        <w:br/>
        <w:t xml:space="preserve"> "authority_confirmation_score_0_100": 10,</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76,</w:t>
        <w:br/>
        <w:t xml:space="preserve"> "supporting_belief_ids": [</w:t>
        <w:br/>
        <w:t xml:space="preserve"> "B-gold-01",</w:t>
        <w:br/>
        <w:t xml:space="preserve"> "B-gold-02"</w:t>
        <w:br/>
        <w:t xml:space="preserve"> ],</w:t>
        <w:br/>
        <w:t xml:space="preserve"> "source_tier_counts": {</w:t>
        <w:br/>
        <w:t xml:space="preserve"> "A": 0,</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"fresh_24_72h": 0,</w:t>
        <w:br/>
        <w:t xml:space="preserve"> "stale_gt_72h": 2,</w:t>
        <w:br/>
        <w:t xml:space="preserve"> "unknown_age": 0</w:t>
        <w:br/>
        <w:t xml:space="preserve"> }</w:t>
        <w:br/>
        <w:t xml:space="preserve"> }</w:t>
        <w:br/>
        <w:t xml:space="preserve"> ],</w:t>
        <w:br/>
        <w:t xml:space="preserve"> "risk_flags": [</w:t>
        <w:br/>
        <w:t xml:space="preserve"> {</w:t>
        <w:br/>
        <w:t xml:space="preserve"> "risk_flag_id": "RF-data-sparsity",</w:t>
        <w:br/>
        <w:t xml:space="preserve"> "market": "gold",</w:t>
        <w:br/>
        <w:t xml:space="preserve"> "severity": "high",</w:t>
        <w:br/>
        <w:t xml:space="preserve"> "description": "Gold-mapped evidence below minimum threshold; suppressing directional call (neutral/mixed)."</w:t>
        <w:br/>
        <w:t xml:space="preserve"> },</w:t>
        <w:br/>
        <w:t xml:space="preserve"> {</w:t>
        <w:br/>
        <w:t xml:space="preserve"> "risk_flag_id": "RF-stale-context-overhang",</w:t>
        <w:br/>
        <w:t xml:space="preserve"> "market": "gold",</w:t>
        <w:br/>
        <w:t xml:space="preserve"> "severity": "medium",</w:t>
        <w:br/>
        <w:t xml:space="preserve"> "description": "Most gold-related items are older than 72h; stale suppression applied and momentum marked weakening."</w:t>
        <w:br/>
        <w:t xml:space="preserve"> },</w:t>
        <w:br/>
        <w:t xml:space="preserve"> {</w:t>
        <w:br/>
        <w:t xml:space="preserve"> "risk_flag_id": "RF-echo-risk",</w:t>
        <w:br/>
        <w:t xml:space="preserve"> "market": "gold",</w:t>
        <w:br/>
        <w:t xml:space="preserve"> "severity": "medium",</w:t>
        <w:br/>
        <w:t xml:space="preserve"> "description": "Gold-specific items show low domain diversity / single-source concentration risk."</w:t>
        <w:br/>
        <w:t xml:space="preserve"> }</w:t>
        <w:br/>
        <w:t xml:space="preserve"> ],</w:t>
        <w:br/>
        <w:t xml:space="preserve"> "candidate_actions": [</w:t>
        <w:br/>
        <w:t xml:space="preserve"> {</w:t>
        <w:br/>
        <w:t xml:space="preserve"> "market": "gold",</w:t>
        <w:br/>
        <w:t xml:space="preserve"> "confidence": "high",</w:t>
        <w:br/>
        <w:t xml:space="preserve"> "trigger_condition": "Stay flat while gold-mapped fresh evidence count remains &lt; 3 OR freshness_confidence remains low."</w:t>
        <w:br/>
        <w:t xml:space="preserve"> },</w:t>
        <w:br/>
        <w:t xml:space="preserve"> {</w:t>
        <w:br/>
        <w:t xml:space="preserve"> "market": "gold",</w:t>
        <w:br/>
        <w:t xml:space="preserve"> "confidence": "medium",</w:t>
        <w:br/>
        <w:t xml:space="preserve"> "trigger_condition": "Volatility watch if a fresh multi-source gold catalyst appears (e.g., corroborated ETF flow / real-rates impulse / USD shock / verified geopolitical escalation impacting safe-haven demand)."</w:t>
        <w:br/>
        <w:t xml:space="preserve"> },</w:t>
        <w:br/>
        <w:t xml:space="preserve"> {</w:t>
        <w:br/>
        <w:t xml:space="preserve"> "market": "gold",</w:t>
        <w:br/>
        <w:t xml:space="preserve"> "confidence": "medium",</w:t>
        <w:br/>
        <w:t xml:space="preserve"> "trigger_condition": "Reversal watch if a fresh, opposing macro impulse is detected (e.g., sharp real-rate rise + USD strength) with 2+ independent confirming records inside 6h."</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"2026-03-21T16:00:00Z",</w:t>
        <w:br/>
        <w:t xml:space="preserve"> "bucket_end_utc": "2026-03-21T17:00:00Z",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"2026-03-21T17:00:00Z",</w:t>
        <w:br/>
        <w:t xml:space="preserve"> "bucket_end_utc": "2026-03-21T18:00:00Z",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"2026-03-21T18:00:00Z",</w:t>
        <w:br/>
        <w:t xml:space="preserve"> "bucket_end_utc": "2026-03-21T19:00:00Z",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"2026-03-21T19:00:00Z",</w:t>
        <w:br/>
        <w:t xml:space="preserve"> "bucket_end_utc": "2026-03-21T20:00:00Z",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"2026-03-21T20:00:00Z",</w:t>
        <w:br/>
        <w:t xml:space="preserve"> "bucket_end_utc": "2026-03-21T21:00:00Z",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"2026-03-21T21:00:00Z",</w:t>
        <w:br/>
        <w:t xml:space="preserve"> "bucket_end_utc": "2026-03-21T22:00:00Z",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"2026-03-21T22:00:00Z",</w:t>
        <w:br/>
        <w:t xml:space="preserve"> "bucket_end_utc": "2026-03-21T23:00:00Z",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"2026-03-21T23:00:00Z",</w:t>
        <w:br/>
        <w:t xml:space="preserve"> "bucket_end_utc": "2026-03-22T00:00:00Z",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"2026-03-22T00:00:00Z",</w:t>
        <w:br/>
        <w:t xml:space="preserve"> "bucket_end_utc": "2026-03-22T01:00:00Z",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"2026-03-22T01:00:00Z",</w:t>
        <w:br/>
        <w:t xml:space="preserve"> "bucket_end_utc": "2026-03-22T02:00:00Z",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"2026-03-22T02:00:00Z",</w:t>
        <w:br/>
        <w:t xml:space="preserve"> "bucket_end_utc": "2026-03-22T03:00:00Z",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"2026-03-22T03:00:00Z",</w:t>
        <w:br/>
        <w:t xml:space="preserve"> "bucket_end_utc": "2026-03-22T04:00:00Z",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"2026-03-22T04:00:00Z",</w:t>
        <w:br/>
        <w:t xml:space="preserve"> "bucket_end_utc": "2026-03-22T05:00:00Z",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"2026-03-22T05:00:00Z",</w:t>
        <w:br/>
        <w:t xml:space="preserve"> "bucket_end_utc": "2026-03-22T06:00:00Z",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"2026-03-22T06:00:00Z",</w:t>
        <w:br/>
        <w:t xml:space="preserve"> "bucket_end_utc": "2026-03-22T07:00:00Z",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"2026-03-22T07:00:00Z",</w:t>
        <w:br/>
        <w:t xml:space="preserve"> "bucket_end_utc": "2026-03-22T08:00:00Z",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"2026-03-22T08:00:00Z",</w:t>
        <w:br/>
        <w:t xml:space="preserve"> "bucket_end_utc": "2026-03-22T09:00:00Z",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"2026-03-22T09:00:00Z",</w:t>
        <w:br/>
        <w:t xml:space="preserve"> "bucket_end_utc": "2026-03-22T10:00:00Z",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"2026-03-22T10:00:00Z",</w:t>
        <w:br/>
        <w:t xml:space="preserve"> "bucket_end_utc": "2026-03-22T11:00:00Z",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"2026-03-22T11:00:00Z",</w:t>
        <w:br/>
        <w:t xml:space="preserve"> "bucket_end_utc": "2026-03-22T12:00:00Z",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"2026-03-22T12:00:00Z",</w:t>
        <w:br/>
        <w:t xml:space="preserve"> "bucket_end_utc": "2026-03-22T13:00:00Z",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"2026-03-22T13:00:00Z",</w:t>
        <w:br/>
        <w:t xml:space="preserve"> "bucket_end_utc": "2026-03-22T14:00:00Z",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"2026-03-22T14:00:00Z",</w:t>
        <w:br/>
        <w:t xml:space="preserve"> "bucket_end_utc": "2026-03-22T15:00:00Z",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"2026-03-22T15:00:00Z",</w:t>
        <w:br/>
        <w:t xml:space="preserve"> "bucket_end_utc": "2026-03-22T16:00:00Z",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