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(ZC) | 2026-03-14 09:20 UTC [QXRP] | Bullish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 (ZC)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ZC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data_sparsity</w:t>
      </w:r>
      <w:r/>
    </w:p>
    <w:p>
      <w:pPr>
        <w:pStyle w:val="ListBullet"/>
        <w:spacing w:line="240" w:lineRule="auto"/>
        <w:ind w:left="720"/>
      </w:pPr>
      <w:r/>
      <w:r>
        <w:t>generated_at: 2026-03-14T09:20:00Z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corn_b1_supply_tightness_input_constraints_24h</w:t>
            </w:r>
          </w:p>
        </w:tc>
        <w:tc>
          <w:tcPr>
            <w:tcW w:type="dxa" w:w="1040"/>
          </w:tcPr>
          <w:p>
            <w:r>
              <w:t>Near-term corn price support is biased upward as fertilizer availability/price risks raise perceived planting and input-cost uncertainty (supply-side tightness risk).</w:t>
            </w:r>
          </w:p>
        </w:tc>
        <w:tc>
          <w:tcPr>
            <w:tcW w:type="dxa" w:w="1040"/>
          </w:tcPr>
          <w:p>
            <w:r>
              <w:t>57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64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corn_b2_geopolitical_fertilizer_shock_volatility_6h</w:t>
            </w:r>
          </w:p>
        </w:tc>
        <w:tc>
          <w:tcPr>
            <w:tcW w:type="dxa" w:w="1040"/>
          </w:tcPr>
          <w:p>
            <w:r>
              <w:t>Headline-driven fertilizer/geopolitical disruption narratives are increasing short-horizon volatility risk in corn, with direction sensitive to confirmation/denial of severity.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64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corn_b3_policy_ethanol_demand_24h</w:t>
            </w:r>
          </w:p>
        </w:tc>
        <w:tc>
          <w:tcPr>
            <w:tcW w:type="dxa" w:w="1040"/>
          </w:tcPr>
          <w:p>
            <w:r>
              <w:t>Policy signalling around year-round E-15 keeps an upward demand-side bias (ethanol-linked corn usage) in the near-term narrative.</w:t>
            </w:r>
          </w:p>
        </w:tc>
        <w:tc>
          <w:tcPr>
            <w:tcW w:type="dxa" w:w="1040"/>
          </w:tcPr>
          <w:p>
            <w:r>
              <w:t>54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64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"cis_6b_corn_20260314T092000Z",</w:t>
        <w:br/>
        <w:t xml:space="preserve"> "timestamp_utc": "2026-03-14T09:20:00Z",</w:t>
        <w:br/>
        <w:t xml:space="preserve"> "primary_asset_focus": {</w:t>
        <w:br/>
        <w:t xml:space="preserve"> "name": "Corn futures (ZC)",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56,</w:t>
        <w:br/>
        <w:t xml:space="preserve"> "headline_fragility_score_0_100": 64,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</w:t>
        <w:br/>
        <w:t xml:space="preserve"> {</w:t>
        <w:br/>
        <w:t xml:space="preserve"> "belief_id": "corn_b1_supply_tightness_input_constraints_24h",</w:t>
        <w:br/>
        <w:t xml:space="preserve"> "market": "corn",</w:t>
        <w:br/>
        <w:t xml:space="preserve"> "claim": "Near-term corn price support is biased upward as fertilizer availability/price risks raise perceived planting and input-cost uncertainty (supply-side tightness risk).",</w:t>
        <w:br/>
        <w:t xml:space="preserve"> "probability_pct": 57,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"planting_harvest",</w:t>
        <w:br/>
        <w:t xml:space="preserve"> "crop_conditions",</w:t>
        <w:br/>
        <w:t xml:space="preserve"> "export_flows",</w:t>
        <w:br/>
        <w:t xml:space="preserve"> "weather"</w:t>
        <w:br/>
        <w:t xml:space="preserve"> ],</w:t>
        <w:br/>
        <w:t xml:space="preserve"> "contradicted_by": [</w:t>
        <w:br/>
        <w:t xml:space="preserve"> "corn_b3_policy_ethanol_demand_24h"</w:t>
        <w:br/>
        <w:t xml:space="preserve"> ]</w:t>
        <w:br/>
        <w:t xml:space="preserve"> },</w:t>
        <w:br/>
        <w:t xml:space="preserve"> {</w:t>
        <w:br/>
        <w:t xml:space="preserve"> "belief_id": "corn_b2_geopolitical_fertilizer_shock_volatility_6h",</w:t>
        <w:br/>
        <w:t xml:space="preserve"> "market": "corn",</w:t>
        <w:br/>
        <w:t xml:space="preserve"> "claim": "Headline-driven fertilizer/geopolitical disruption narratives are increasing short-horizon volatility risk in corn, with direction sensitive to confirmation/denial of severity.",</w:t>
        <w:br/>
        <w:t xml:space="preserve"> "probability_pct": 62,</w:t>
        <w:br/>
        <w:t xml:space="preserve"> "direction": "mixed",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"planting_harvest",</w:t>
        <w:br/>
        <w:t xml:space="preserve"> "crop_conditions"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"corn_b3_policy_ethanol_demand_24h",</w:t>
        <w:br/>
        <w:t xml:space="preserve"> "market": "corn",</w:t>
        <w:br/>
        <w:t xml:space="preserve"> "claim": "Policy signalling around year-round E-15 keeps an upward demand-side bias (ethanol-linked corn usage) in the near-term narrative.",</w:t>
        <w:br/>
        <w:t xml:space="preserve"> "probability_pct": 54,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"ethanol_demand"</w:t>
        <w:br/>
        <w:t xml:space="preserve"> ],</w:t>
        <w:br/>
        <w:t xml:space="preserve"> "contradicted_by": [</w:t>
        <w:br/>
        <w:t xml:space="preserve"> "corn_b2_geopolitical_fertilizer_shock_volatility_6h"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56,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64,</w:t>
        <w:br/>
        <w:t xml:space="preserve"> "supporting_belief_ids": [</w:t>
        <w:br/>
        <w:t xml:space="preserve"> "corn_b1_supply_tightness_input_constraints_24h",</w:t>
        <w:br/>
        <w:t xml:space="preserve"> "corn_b2_geopolitical_fertilizer_shock_volatility_6h",</w:t>
        <w:br/>
        <w:t xml:space="preserve"> "corn_b3_policy_ethanol_demand_24h"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"severity": "high",</w:t>
        <w:br/>
        <w:t xml:space="preserve"> "markets": [</w:t>
        <w:br/>
        <w:t xml:space="preserve"> "corn"</w:t>
        <w:br/>
        <w:t xml:space="preserve"> ],</w:t>
        <w:br/>
        <w:t xml:space="preserve"> "rationale": "No workflow5B trend_physics/trend_state_memory provided; signal is inferred from a small number of same-day headlines."</w:t>
        <w:br/>
        <w:t xml:space="preserve"> },</w:t>
        <w:br/>
        <w:t xml:space="preserve"> {</w:t>
        <w:br/>
        <w:t xml:space="preserve"> "flag": "narrative_whipsaw",</w:t>
        <w:br/>
        <w:t xml:space="preserve"> "severity": "medium",</w:t>
        <w:br/>
        <w:t xml:space="preserve"> "markets": [</w:t>
        <w:br/>
        <w:t xml:space="preserve"> "corn"</w:t>
        <w:br/>
        <w:t xml:space="preserve"> ],</w:t>
        <w:br/>
        <w:t xml:space="preserve"> "rationale": "Geopolitical/fertilizer storyline can flip quickly with confirmation or denial; directional bias is therefore fragile."</w:t>
        <w:br/>
        <w:t xml:space="preserve"> },</w:t>
        <w:br/>
        <w:t xml:space="preserve"> {</w:t>
        <w:br/>
        <w:t xml:space="preserve"> "flag": "recency_flip",</w:t>
        <w:br/>
        <w:t xml:space="preserve"> "severity": "medium",</w:t>
        <w:br/>
        <w:t xml:space="preserve"> "markets": [</w:t>
        <w:br/>
        <w:t xml:space="preserve"> "corn"</w:t>
        <w:br/>
        <w:t xml:space="preserve"> ],</w:t>
        <w:br/>
        <w:t xml:space="preserve"> "rationale": "Directional pressure is concentrated in a few recent buckets (06:00\u201307:00Z spike), increasing susceptibility to reversal on new information."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"confidence": "medium",</w:t>
        <w:br/>
        <w:t xml:space="preserve"> "action_label": "watch_long_bias",</w:t>
        <w:br/>
        <w:t xml:space="preserve"> "trigger_condition": "Fresh confirmation of fertilizer supply tightness / higher input-cost constraints without offsetting bearish demand shock."</w:t>
        <w:br/>
        <w:t xml:space="preserve"> },</w:t>
        <w:br/>
        <w:t xml:space="preserve"> {</w:t>
        <w:br/>
        <w:t xml:space="preserve"> "market": "corn",</w:t>
        <w:br/>
        <w:t xml:space="preserve"> "confidence": "high",</w:t>
        <w:br/>
        <w:t xml:space="preserve"> "action_label": "volatility_watch",</w:t>
        <w:br/>
        <w:t xml:space="preserve"> "trigger_condition": "Additional high-impact headlines within &lt;=6h that materially change the perceived severity of disruptions."</w:t>
        <w:br/>
        <w:t xml:space="preserve"> },</w:t>
        <w:br/>
        <w:t xml:space="preserve"> {</w:t>
        <w:br/>
        <w:t xml:space="preserve"> "market": "corn",</w:t>
        <w:br/>
        <w:t xml:space="preserve"> "confidence": "medium",</w:t>
        <w:br/>
        <w:t xml:space="preserve"> "action_label": "reversal_watch",</w:t>
        <w:br/>
        <w:t xml:space="preserve"> "trigger_condition": "Credible counter-headlines that restore fertilizer availability or signal weaker ethanol demand, raising contradiction ratio."</w:t>
        <w:br/>
        <w:t xml:space="preserve"> },</w:t>
        <w:br/>
        <w:t xml:space="preserve"> {</w:t>
        <w:br/>
        <w:t xml:space="preserve"> "market": "corn",</w:t>
        <w:br/>
        <w:t xml:space="preserve"> "confidence": "low",</w:t>
        <w:br/>
        <w:t xml:space="preserve"> "action_label": "stay_flat",</w:t>
        <w:br/>
        <w:t xml:space="preserve"> "trigger_condition": "If no confirming evidence appears and directional pressure decays (directional_score_signed returns to within \u00b110 for multiple hours)."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"corn"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"2026-03-13T09:00:00Z",</w:t>
        <w:br/>
        <w:t xml:space="preserve"> "bucket_end_utc": "2026-03-13T10:00:00Z",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"2026-03-13T10:00:00Z",</w:t>
        <w:br/>
        <w:t xml:space="preserve"> "bucket_end_utc": "2026-03-13T11:00:00Z",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"2026-03-13T11:00:00Z",</w:t>
        <w:br/>
        <w:t xml:space="preserve"> "bucket_end_utc": "2026-03-13T12:00:00Z",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"2026-03-13T12:00:00Z",</w:t>
        <w:br/>
        <w:t xml:space="preserve"> "bucket_end_utc": "2026-03-13T13:00:00Z",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"2026-03-13T13:00:00Z",</w:t>
        <w:br/>
        <w:t xml:space="preserve"> "bucket_end_utc": "2026-03-13T14:00:00Z",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"2026-03-13T14:00:00Z",</w:t>
        <w:br/>
        <w:t xml:space="preserve"> "bucket_end_utc": "2026-03-13T15:00:00Z",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"2026-03-13T15:00:00Z",</w:t>
        <w:br/>
        <w:t xml:space="preserve"> "bucket_end_utc": "2026-03-13T16:00:00Z",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"2026-03-13T16:00:00Z",</w:t>
        <w:br/>
        <w:t xml:space="preserve"> "bucket_end_utc": "2026-03-13T17:00:00Z",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"2026-03-13T17:00:00Z",</w:t>
        <w:br/>
        <w:t xml:space="preserve"> "bucket_end_utc": "2026-03-13T18:00:00Z",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"2026-03-13T18:00:00Z",</w:t>
        <w:br/>
        <w:t xml:space="preserve"> "bucket_end_utc": "2026-03-13T19:00:00Z",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"2026-03-13T19:00:00Z",</w:t>
        <w:br/>
        <w:t xml:space="preserve"> "bucket_end_utc": "2026-03-13T20:00:00Z",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"2026-03-13T20:00:00Z",</w:t>
        <w:br/>
        <w:t xml:space="preserve"> "bucket_end_utc": "2026-03-13T21:00:00Z",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"2026-03-13T21:00:00Z",</w:t>
        <w:br/>
        <w:t xml:space="preserve"> "bucket_end_utc": "2026-03-13T22:00:00Z",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"2026-03-13T22:00:00Z",</w:t>
        <w:br/>
        <w:t xml:space="preserve"> "bucket_end_utc": "2026-03-13T23:00:00Z",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"2026-03-13T23:00:00Z",</w:t>
        <w:br/>
        <w:t xml:space="preserve"> "bucket_end_utc": "2026-03-14T00:00:00Z",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"2026-03-14T00:00:00Z",</w:t>
        <w:br/>
        <w:t xml:space="preserve"> "bucket_end_utc": "2026-03-14T01:00:00Z",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"2026-03-14T01:00:00Z",</w:t>
        <w:br/>
        <w:t xml:space="preserve"> "bucket_end_utc": "2026-03-14T02:00:00Z",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"2026-03-14T02:00:00Z",</w:t>
        <w:br/>
        <w:t xml:space="preserve"> "bucket_end_utc": "2026-03-14T03:00:00Z",</w:t>
        <w:br/>
        <w:t xml:space="preserve"> "directional_score_signed": 8,</w:t>
        <w:br/>
        <w:t xml:space="preserve"> "bullish_pressure_score": 10,</w:t>
        <w:br/>
        <w:t xml:space="preserve"> "bearish_pressure_score": 2,</w:t>
        <w:br/>
        <w:t xml:space="preserve"> "net_sentiment_score": 8,</w:t>
        <w:br/>
        <w:t xml:space="preserve"> "velocity_score": 8,</w:t>
        <w:br/>
        <w:t xml:space="preserve"> "acceleration_score": 8,</w:t>
        <w:br/>
        <w:t xml:space="preserve"> "contradiction_ratio": 0.4,</w:t>
        <w:br/>
        <w:t xml:space="preserve"> "fresh_evidence_count": 1,</w:t>
        <w:br/>
        <w:t xml:space="preserve"> "stale_evidence_count": 0,</w:t>
        <w:br/>
        <w:t xml:space="preserve"> "conviction_score_0_100": 32,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"2026-03-14T03:00:00Z",</w:t>
        <w:br/>
        <w:t xml:space="preserve"> "bucket_end_utc": "2026-03-14T04:00:00Z",</w:t>
        <w:br/>
        <w:t xml:space="preserve"> "directional_score_signed": 18,</w:t>
        <w:br/>
        <w:t xml:space="preserve"> "bullish_pressure_score": 21,</w:t>
        <w:br/>
        <w:t xml:space="preserve"> "bearish_pressure_score": 3,</w:t>
        <w:br/>
        <w:t xml:space="preserve"> "net_sentiment_score": 18,</w:t>
        <w:br/>
        <w:t xml:space="preserve"> "velocity_score": 10,</w:t>
        <w:br/>
        <w:t xml:space="preserve"> "acceleration_score": 2,</w:t>
        <w:br/>
        <w:t xml:space="preserve"> "contradiction_ratio": 0.35,</w:t>
        <w:br/>
        <w:t xml:space="preserve"> "fresh_evidence_count": 1,</w:t>
        <w:br/>
        <w:t xml:space="preserve"> "stale_evidence_count": 0,</w:t>
        <w:br/>
        <w:t xml:space="preserve"> "conviction_score_0_100": 40,</w:t>
        <w:br/>
        <w:t xml:space="preserve"> "fragility_score_0_100": 68,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"2026-03-14T04:00:00Z",</w:t>
        <w:br/>
        <w:t xml:space="preserve"> "bucket_end_utc": "2026-03-14T05:00:00Z",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-18,</w:t>
        <w:br/>
        <w:t xml:space="preserve"> "acceleration_score": -28,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"2026-03-14T05:00:00Z",</w:t>
        <w:br/>
        <w:t xml:space="preserve"> "bucket_end_utc": "2026-03-14T06:00:00Z",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18,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"2026-03-14T06:00:00Z",</w:t>
        <w:br/>
        <w:t xml:space="preserve"> "bucket_end_utc": "2026-03-14T07:00:00Z",</w:t>
        <w:br/>
        <w:t xml:space="preserve"> "directional_score_signed": 30,</w:t>
        <w:br/>
        <w:t xml:space="preserve"> "bullish_pressure_score": 34,</w:t>
        <w:br/>
        <w:t xml:space="preserve"> "bearish_pressure_score": 4,</w:t>
        <w:br/>
        <w:t xml:space="preserve"> "net_sentiment_score": 30,</w:t>
        <w:br/>
        <w:t xml:space="preserve"> "velocity_score": 30,</w:t>
        <w:br/>
        <w:t xml:space="preserve"> "acceleration_score": 30,</w:t>
        <w:br/>
        <w:t xml:space="preserve"> "contradiction_ratio": 0.25,</w:t>
        <w:br/>
        <w:t xml:space="preserve"> "fresh_evidence_count": 2,</w:t>
        <w:br/>
        <w:t xml:space="preserve"> "stale_evidence_count": 0,</w:t>
        <w:br/>
        <w:t xml:space="preserve"> "conviction_score_0_100": 54,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"2026-03-14T07:00:00Z",</w:t>
        <w:br/>
        <w:t xml:space="preserve"> "bucket_end_utc": "2026-03-14T08:00:00Z",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-30,</w:t>
        <w:br/>
        <w:t xml:space="preserve"> "acceleration_score": -60,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"2026-03-14T08:00:00Z",</w:t>
        <w:br/>
        <w:t xml:space="preserve"> "bucket_end_utc": "2026-03-14T09:00:00Z",</w:t>
        <w:br/>
        <w:t xml:space="preserve"> "directional_score_signed": 6,</w:t>
        <w:br/>
        <w:t xml:space="preserve"> "bullish_pressure_score": 7,</w:t>
        <w:br/>
        <w:t xml:space="preserve"> "bearish_pressure_score": 1,</w:t>
        <w:br/>
        <w:t xml:space="preserve"> "net_sentiment_score": 6,</w:t>
        <w:br/>
        <w:t xml:space="preserve"> "velocity_score": 6,</w:t>
        <w:br/>
        <w:t xml:space="preserve"> "acceleration_score": 36,</w:t>
        <w:br/>
        <w:t xml:space="preserve"> "contradiction_ratio": 0.4,</w:t>
        <w:br/>
        <w:t xml:space="preserve"> "fresh_evidence_count": 1,</w:t>
        <w:br/>
        <w:t xml:space="preserve"> "stale_evidence_count": 0,</w:t>
        <w:br/>
        <w:t xml:space="preserve"> "conviction_score_0_100": 28,</w:t>
        <w:br/>
        <w:t xml:space="preserve"> "fragility_score_0_100": 74,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true,</w:t>
        <w:br/>
        <w:t xml:space="preserve"> "resolution": "30m",</w:t>
        <w:br/>
        <w:t xml:space="preserve"> "lookback_hours": 6,</w:t>
        <w:br/>
        <w:t xml:space="preserve"> "buckets": [</w:t>
        <w:br/>
        <w:t xml:space="preserve"> {</w:t>
        <w:br/>
        <w:t xml:space="preserve"> "bucket_start_utc": "2026-03-14T03:00:00Z",</w:t>
        <w:br/>
        <w:t xml:space="preserve"> "bucket_end_utc": "2026-03-14T03:30:00Z",</w:t>
        <w:br/>
        <w:t xml:space="preserve"> "directional_score_signed": 18,</w:t>
        <w:br/>
        <w:t xml:space="preserve"> "bullish_pressure_score": 21,</w:t>
        <w:br/>
        <w:t xml:space="preserve"> "bearish_pressure_score": 3,</w:t>
        <w:br/>
        <w:t xml:space="preserve"> "net_sentiment_score": 18,</w:t>
        <w:br/>
        <w:t xml:space="preserve"> "velocity_score": 18,</w:t>
        <w:br/>
        <w:t xml:space="preserve"> "acceleration_score": 18,</w:t>
        <w:br/>
        <w:t xml:space="preserve"> "contradiction_ratio": 0.35,</w:t>
        <w:br/>
        <w:t xml:space="preserve"> "fresh_evidence_count": 1,</w:t>
        <w:br/>
        <w:t xml:space="preserve"> "stale_evidence_count": 0,</w:t>
        <w:br/>
        <w:t xml:space="preserve"> "conviction_score_0_100": 40,</w:t>
        <w:br/>
        <w:t xml:space="preserve"> "fragility_score_0_100": 68,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"2026-03-14T03:30:00Z",</w:t>
        <w:br/>
        <w:t xml:space="preserve"> "bucket_end_utc": "2026-03-14T04:00:00Z",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-18,</w:t>
        <w:br/>
        <w:t xml:space="preserve"> "acceleration_score": -36,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"2026-03-14T04:00:00Z",</w:t>
        <w:br/>
        <w:t xml:space="preserve"> "bucket_end_utc": "2026-03-14T04:30:00Z",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18,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"2026-03-14T04:30:00Z",</w:t>
        <w:br/>
        <w:t xml:space="preserve"> "bucket_end_utc": "2026-03-14T05:00:00Z",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"2026-03-14T05:00:00Z",</w:t>
        <w:br/>
        <w:t xml:space="preserve"> "bucket_end_utc": "2026-03-14T05:30:00Z",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"2026-03-14T05:30:00Z",</w:t>
        <w:br/>
        <w:t xml:space="preserve"> "bucket_end_utc": "2026-03-14T06:00:00Z",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"2026-03-14T06:00:00Z",</w:t>
        <w:br/>
        <w:t xml:space="preserve"> "bucket_end_utc": "2026-03-14T06:30:00Z",</w:t>
        <w:br/>
        <w:t xml:space="preserve"> "directional_score_signed": 18,</w:t>
        <w:br/>
        <w:t xml:space="preserve"> "bullish_pressure_score": 21,</w:t>
        <w:br/>
        <w:t xml:space="preserve"> "bearish_pressure_score": 3,</w:t>
        <w:br/>
        <w:t xml:space="preserve"> "net_sentiment_score": 18,</w:t>
        <w:br/>
        <w:t xml:space="preserve"> "velocity_score": 18,</w:t>
        <w:br/>
        <w:t xml:space="preserve"> "acceleration_score": 18,</w:t>
        <w:br/>
        <w:t xml:space="preserve"> "contradiction_ratio": 0.3,</w:t>
        <w:br/>
        <w:t xml:space="preserve"> "fresh_evidence_count": 1,</w:t>
        <w:br/>
        <w:t xml:space="preserve"> "stale_evidence_count": 0,</w:t>
        <w:br/>
        <w:t xml:space="preserve"> "conviction_score_0_100": 42,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"2026-03-14T06:30:00Z",</w:t>
        <w:br/>
        <w:t xml:space="preserve"> "bucket_end_utc": "2026-03-14T07:00:00Z",</w:t>
        <w:br/>
        <w:t xml:space="preserve"> "directional_score_signed": 10,</w:t>
        <w:br/>
        <w:t xml:space="preserve"> "bullish_pressure_score": 12,</w:t>
        <w:br/>
        <w:t xml:space="preserve"> "bearish_pressure_score": 2,</w:t>
        <w:br/>
        <w:t xml:space="preserve"> "net_sentiment_score": 10,</w:t>
        <w:br/>
        <w:t xml:space="preserve"> "velocity_score": -8,</w:t>
        <w:br/>
        <w:t xml:space="preserve"> "acceleration_score": -26,</w:t>
        <w:br/>
        <w:t xml:space="preserve"> "contradiction_ratio": 0.35,</w:t>
        <w:br/>
        <w:t xml:space="preserve"> "fresh_evidence_count": 1,</w:t>
        <w:br/>
        <w:t xml:space="preserve"> "stale_evidence_count": 0,</w:t>
        <w:br/>
        <w:t xml:space="preserve"> "conviction_score_0_100": 34,</w:t>
        <w:br/>
        <w:t xml:space="preserve"> "fragility_score_0_100": 70,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"2026-03-14T07:00:00Z",</w:t>
        <w:br/>
        <w:t xml:space="preserve"> "bucket_end_utc": "2026-03-14T07:30:00Z",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-10,</w:t>
        <w:br/>
        <w:t xml:space="preserve"> "acceleration_score": -2,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"2026-03-14T07:30:00Z",</w:t>
        <w:br/>
        <w:t xml:space="preserve"> "bucket_end_utc": "2026-03-14T08:00:00Z",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10,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"2026-03-14T08:00:00Z",</w:t>
        <w:br/>
        <w:t xml:space="preserve"> "bucket_end_utc": "2026-03-14T08:30:00Z",</w:t>
        <w:br/>
        <w:t xml:space="preserve"> "directional_score_signed": 6,</w:t>
        <w:br/>
        <w:t xml:space="preserve"> "bullish_pressure_score": 7,</w:t>
        <w:br/>
        <w:t xml:space="preserve"> "bearish_pressure_score": 1,</w:t>
        <w:br/>
        <w:t xml:space="preserve"> "net_sentiment_score": 6,</w:t>
        <w:br/>
        <w:t xml:space="preserve"> "velocity_score": 6,</w:t>
        <w:br/>
        <w:t xml:space="preserve"> "acceleration_score": 6,</w:t>
        <w:br/>
        <w:t xml:space="preserve"> "contradiction_ratio": 0.4,</w:t>
        <w:br/>
        <w:t xml:space="preserve"> "fresh_evidence_count": 1,</w:t>
        <w:br/>
        <w:t xml:space="preserve"> "stale_evidence_count": 0,</w:t>
        <w:br/>
        <w:t xml:space="preserve"> "conviction_score_0_100": 28,</w:t>
        <w:br/>
        <w:t xml:space="preserve"> "fragility_score_0_100": 74,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"2026-03-14T08:30:00Z",</w:t>
        <w:br/>
        <w:t xml:space="preserve"> "bucket_end_utc": "2026-03-14T09:00:00Z",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-6,</w:t>
        <w:br/>
        <w:t xml:space="preserve"> "acceleration_score": -12,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85,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"summary": {</w:t>
        <w:br/>
        <w:t xml:space="preserve"> "timeseries_peak_bullish": 30,</w:t>
        <w:br/>
        <w:t xml:space="preserve"> "timeseries_peak_bearish": 0,</w:t>
        <w:br/>
        <w:t xml:space="preserve"> "latest_inflection_direction": "up",</w:t>
        <w:br/>
        <w:t xml:space="preserve"> "latest_inflection_strength": 6,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5,</w:t>
        <w:br/>
        <w:t xml:space="preserve"> "trends_admitted": 5,</w:t>
        <w:br/>
        <w:t xml:space="preserve"> "cross_domain_merges": 1,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12,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"workflow5b_output not provided; ingested_data.raw_news_feed used as proxy evidence for admission, recency weighting, and timeseries bucketing.",</w:t>
        <w:br/>
        <w:t xml:space="preserve"> "No trend_state_memory available; state_change computed assuming unknown_prior treated as neutral baseline."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2. </w:t>
      </w:r>
      <w:hyperlink r:id="rId10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3. </w:t>
      </w:r>
      <w:hyperlink r:id="rId11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4. </w:t>
      </w:r>
      <w:hyperlink r:id="rId12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5. </w:t>
      </w:r>
      <w:hyperlink r:id="rId13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6. </w:t>
      </w:r>
      <w:hyperlink r:id="rId14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7. </w:t>
      </w:r>
      <w:hyperlink r:id="rId15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8. </w:t>
      </w:r>
      <w:hyperlink r:id="rId16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9. </w:t>
      </w:r>
      <w:hyperlink r:id="rId17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10. </w:t>
      </w:r>
      <w:hyperlink r:id="rId18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11. </w:t>
      </w:r>
      <w:hyperlink r:id="rId19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12. </w:t>
      </w:r>
      <w:hyperlink r:id="rId20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13. </w:t>
      </w:r>
      <w:hyperlink r:id="rId21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14. </w:t>
      </w:r>
      <w:hyperlink r:id="rId22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15. </w:t>
      </w:r>
      <w:hyperlink r:id="rId23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16. </w:t>
      </w:r>
      <w:hyperlink r:id="rId24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17. </w:t>
      </w:r>
      <w:hyperlink r:id="rId25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18. </w:t>
      </w:r>
      <w:hyperlink r:id="rId26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19. </w:t>
      </w:r>
      <w:hyperlink r:id="rId27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20. </w:t>
      </w:r>
      <w:hyperlink r:id="rId28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21. </w:t>
      </w:r>
      <w:hyperlink r:id="rId29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22. </w:t>
      </w:r>
      <w:hyperlink r:id="rId30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23. </w:t>
      </w:r>
      <w:hyperlink r:id="rId31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24. </w:t>
      </w:r>
      <w:hyperlink r:id="rId32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25. </w:t>
      </w:r>
      <w:hyperlink r:id="rId33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26. </w:t>
      </w:r>
      <w:hyperlink r:id="rId34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27. </w:t>
      </w:r>
      <w:hyperlink r:id="rId35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28. </w:t>
      </w:r>
      <w:hyperlink r:id="rId36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29. </w:t>
      </w:r>
      <w:hyperlink r:id="rId37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30. </w:t>
      </w:r>
      <w:hyperlink r:id="rId38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31. </w:t>
      </w:r>
      <w:hyperlink r:id="rId39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32. </w:t>
      </w:r>
      <w:hyperlink r:id="rId40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33. </w:t>
      </w:r>
      <w:hyperlink r:id="rId41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34. </w:t>
      </w:r>
      <w:hyperlink r:id="rId42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35. </w:t>
      </w:r>
      <w:hyperlink r:id="rId43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36. </w:t>
      </w:r>
      <w:hyperlink r:id="rId44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37. </w:t>
      </w:r>
      <w:hyperlink r:id="rId45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38. </w:t>
      </w:r>
      <w:hyperlink r:id="rId46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39. </w:t>
      </w:r>
      <w:hyperlink r:id="rId47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40. </w:t>
      </w:r>
      <w:hyperlink r:id="rId48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41. </w:t>
      </w:r>
      <w:hyperlink r:id="rId49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42. </w:t>
      </w:r>
      <w:hyperlink r:id="rId50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43. </w:t>
      </w:r>
      <w:hyperlink r:id="rId51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44. </w:t>
      </w:r>
      <w:hyperlink r:id="rId52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45. </w:t>
      </w:r>
      <w:hyperlink r:id="rId53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46. </w:t>
      </w:r>
      <w:hyperlink r:id="rId54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47. </w:t>
      </w:r>
      <w:hyperlink r:id="rId55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48. </w:t>
      </w:r>
      <w:hyperlink r:id="rId56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49. </w:t>
      </w:r>
      <w:hyperlink r:id="rId57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50. </w:t>
      </w:r>
      <w:hyperlink r:id="rId58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51. </w:t>
      </w:r>
      <w:hyperlink r:id="rId59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52. </w:t>
      </w:r>
      <w:hyperlink r:id="rId60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53. </w:t>
      </w:r>
      <w:hyperlink r:id="rId61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54. </w:t>
      </w:r>
      <w:hyperlink r:id="rId62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55. </w:t>
      </w:r>
      <w:hyperlink r:id="rId63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56. </w:t>
      </w:r>
      <w:hyperlink r:id="rId64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57. </w:t>
      </w:r>
      <w:hyperlink r:id="rId65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58. </w:t>
      </w:r>
      <w:hyperlink r:id="rId66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59. </w:t>
      </w:r>
      <w:hyperlink r:id="rId67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60. </w:t>
      </w:r>
      <w:hyperlink r:id="rId68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61. </w:t>
      </w:r>
      <w:hyperlink r:id="rId69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62. </w:t>
      </w:r>
      <w:hyperlink r:id="rId70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63. </w:t>
      </w:r>
      <w:hyperlink r:id="rId71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64. </w:t>
      </w:r>
      <w:hyperlink r:id="rId72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65. </w:t>
      </w:r>
      <w:hyperlink r:id="rId73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66. </w:t>
      </w:r>
      <w:hyperlink r:id="rId74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67. </w:t>
      </w:r>
      <w:hyperlink r:id="rId75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68. </w:t>
      </w:r>
      <w:hyperlink r:id="rId76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69. </w:t>
      </w:r>
      <w:hyperlink r:id="rId77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70. </w:t>
      </w:r>
      <w:hyperlink r:id="rId78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71. </w:t>
      </w:r>
      <w:hyperlink r:id="rId79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72. </w:t>
      </w:r>
      <w:hyperlink r:id="rId80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73. </w:t>
      </w:r>
      <w:hyperlink r:id="rId81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74. </w:t>
      </w:r>
      <w:hyperlink r:id="rId82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75. </w:t>
      </w:r>
      <w:hyperlink r:id="rId83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76. </w:t>
      </w:r>
      <w:hyperlink r:id="rId84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77. </w:t>
      </w:r>
      <w:hyperlink r:id="rId85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78. </w:t>
      </w:r>
      <w:hyperlink r:id="rId86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79. </w:t>
      </w:r>
      <w:hyperlink r:id="rId87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80. </w:t>
      </w:r>
      <w:hyperlink r:id="rId88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81. </w:t>
      </w:r>
      <w:hyperlink r:id="rId89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82. </w:t>
      </w:r>
      <w:hyperlink r:id="rId90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83. </w:t>
      </w:r>
      <w:hyperlink r:id="rId91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84. </w:t>
      </w:r>
      <w:hyperlink r:id="rId92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85. </w:t>
      </w:r>
      <w:hyperlink r:id="rId93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86. </w:t>
      </w:r>
      <w:hyperlink r:id="rId94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87. </w:t>
      </w:r>
      <w:hyperlink r:id="rId95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88. </w:t>
      </w:r>
      <w:hyperlink r:id="rId96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89. </w:t>
      </w:r>
      <w:hyperlink r:id="rId97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90. </w:t>
      </w:r>
      <w:hyperlink r:id="rId98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91. </w:t>
      </w:r>
      <w:hyperlink r:id="rId99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92. </w:t>
      </w:r>
      <w:hyperlink r:id="rId100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93. </w:t>
      </w:r>
      <w:hyperlink r:id="rId101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94. </w:t>
      </w:r>
      <w:hyperlink r:id="rId102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95. </w:t>
      </w:r>
      <w:hyperlink r:id="rId103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96. </w:t>
      </w:r>
      <w:hyperlink r:id="rId104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97. </w:t>
      </w:r>
      <w:hyperlink r:id="rId105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98. </w:t>
      </w:r>
      <w:hyperlink r:id="rId106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99. </w:t>
      </w:r>
      <w:hyperlink r:id="rId107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100. </w:t>
      </w:r>
      <w:hyperlink r:id="rId108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101. </w:t>
      </w:r>
      <w:hyperlink r:id="rId109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102. </w:t>
      </w:r>
      <w:hyperlink r:id="rId110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103. </w:t>
      </w:r>
      <w:hyperlink r:id="rId111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104. </w:t>
      </w:r>
      <w:hyperlink r:id="rId112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105. </w:t>
      </w:r>
      <w:hyperlink r:id="rId113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106. </w:t>
      </w:r>
      <w:hyperlink r:id="rId113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107. </w:t>
      </w:r>
      <w:hyperlink r:id="rId114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108. </w:t>
      </w:r>
      <w:hyperlink r:id="rId115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109. </w:t>
      </w:r>
      <w:hyperlink r:id="rId116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110. </w:t>
      </w:r>
      <w:hyperlink r:id="rId117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111. </w:t>
      </w:r>
      <w:hyperlink r:id="rId118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112. </w:t>
      </w:r>
      <w:hyperlink r:id="rId119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113. </w:t>
      </w:r>
      <w:hyperlink r:id="rId120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114. </w:t>
      </w:r>
      <w:hyperlink r:id="rId121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115. </w:t>
      </w:r>
      <w:hyperlink r:id="rId122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116. </w:t>
      </w:r>
      <w:hyperlink r:id="rId123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117. </w:t>
      </w:r>
      <w:hyperlink r:id="rId124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118. </w:t>
      </w:r>
      <w:hyperlink r:id="rId125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119. </w:t>
      </w:r>
      <w:hyperlink r:id="rId126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120. </w:t>
      </w:r>
      <w:hyperlink r:id="rId127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121. </w:t>
      </w:r>
      <w:hyperlink r:id="rId128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122. </w:t>
      </w:r>
      <w:hyperlink r:id="rId129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123. </w:t>
      </w:r>
      <w:hyperlink r:id="rId130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124. </w:t>
      </w:r>
      <w:hyperlink r:id="rId131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125. </w:t>
      </w:r>
      <w:hyperlink r:id="rId132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126. </w:t>
      </w:r>
      <w:hyperlink r:id="rId133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127. </w:t>
      </w:r>
      <w:hyperlink r:id="rId134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128. </w:t>
      </w:r>
      <w:hyperlink r:id="rId135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129. </w:t>
      </w:r>
      <w:hyperlink r:id="rId136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130. </w:t>
      </w:r>
      <w:hyperlink r:id="rId137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131. </w:t>
      </w:r>
      <w:hyperlink r:id="rId138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132. </w:t>
      </w:r>
      <w:hyperlink r:id="rId139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133. </w:t>
      </w:r>
      <w:hyperlink r:id="rId140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134. </w:t>
      </w:r>
      <w:hyperlink r:id="rId141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135. </w:t>
      </w:r>
      <w:hyperlink r:id="rId142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136. </w:t>
      </w:r>
      <w:hyperlink r:id="rId143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137. </w:t>
      </w:r>
      <w:hyperlink r:id="rId144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138. </w:t>
      </w:r>
      <w:hyperlink r:id="rId145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139. </w:t>
      </w:r>
      <w:hyperlink r:id="rId146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140. </w:t>
      </w:r>
      <w:hyperlink r:id="rId147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141. </w:t>
      </w:r>
      <w:hyperlink r:id="rId148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142. </w:t>
      </w:r>
      <w:hyperlink r:id="rId149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143. </w:t>
      </w:r>
      <w:hyperlink r:id="rId150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144. </w:t>
      </w:r>
      <w:hyperlink r:id="rId151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145. </w:t>
      </w:r>
      <w:hyperlink r:id="rId152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146. </w:t>
      </w:r>
      <w:hyperlink r:id="rId153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147. </w:t>
      </w:r>
      <w:hyperlink r:id="rId154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148. </w:t>
      </w:r>
      <w:hyperlink r:id="rId155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149. </w:t>
      </w:r>
      <w:hyperlink r:id="rId156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150. </w:t>
      </w:r>
      <w:hyperlink r:id="rId157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151. </w:t>
      </w:r>
      <w:hyperlink r:id="rId158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59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60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154. </w:t>
      </w:r>
      <w:hyperlink r:id="rId161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155. </w:t>
      </w:r>
      <w:hyperlink r:id="rId162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156. </w:t>
      </w:r>
      <w:hyperlink r:id="rId163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157. </w:t>
      </w:r>
      <w:hyperlink r:id="rId164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158. </w:t>
      </w:r>
      <w:hyperlink r:id="rId165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159. </w:t>
      </w:r>
      <w:hyperlink r:id="rId166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160. </w:t>
      </w:r>
      <w:hyperlink r:id="rId167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161. </w:t>
      </w:r>
      <w:hyperlink r:id="rId168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162. </w:t>
      </w:r>
      <w:hyperlink r:id="rId169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163. </w:t>
      </w:r>
      <w:hyperlink r:id="rId170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164. </w:t>
      </w:r>
      <w:hyperlink r:id="rId171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165. </w:t>
      </w:r>
      <w:hyperlink r:id="rId172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10" Type="http://schemas.openxmlformats.org/officeDocument/2006/relationships/hyperlink" Target="https://www.tsln.com/news/congressman-sorensen-fights-for-corn-growers-and-lower-gas-prices-with-the-sale-of-year-round-e-15/" TargetMode="External"/><Relationship Id="rId11" Type="http://schemas.openxmlformats.org/officeDocument/2006/relationships/hyperlink" Target="https://www.sueddeutsche.de/politik/iran-krieg-liveblog-usa-oelinsel-kharg-angriff-li.3395676" TargetMode="External"/><Relationship Id="rId12" Type="http://schemas.openxmlformats.org/officeDocument/2006/relationships/hyperlink" Target="https://gnnhd.tv/news/54275/how-the-war-in-iran-threatens-food-supply-everywhere" TargetMode="External"/><Relationship Id="rId13" Type="http://schemas.openxmlformats.org/officeDocument/2006/relationships/hyperlink" Target="https://www.brownfieldagnews.com/news/farmers-concerned-over-fertilizer-duopoly/" TargetMode="External"/><Relationship Id="rId14" Type="http://schemas.openxmlformats.org/officeDocument/2006/relationships/hyperlink" Target="https://coloradobiz.com/iran-war-fertilizer-shortage-us-farmers/" TargetMode="External"/><Relationship Id="rId15" Type="http://schemas.openxmlformats.org/officeDocument/2006/relationships/hyperlink" Target="https://farmtario.com/crops/corn-soybeans-ontario-planting-2026/" TargetMode="External"/><Relationship Id="rId16" Type="http://schemas.openxmlformats.org/officeDocument/2006/relationships/hyperlink" Target="https://www.sueddeutsche.de/politik/iran-krieg-liveblog-usa-chamenei-belohnung-millionenhoehe-tankflugzeug-absturz-irak-tote-li.3395676" TargetMode="External"/><Relationship Id="rId17" Type="http://schemas.openxmlformats.org/officeDocument/2006/relationships/hyperlink" Target="https://www.freightwaves.com/news/strait-of-hormuz-closure-how-supply-shocks-threaten-american-crops" TargetMode="External"/><Relationship Id="rId18" Type="http://schemas.openxmlformats.org/officeDocument/2006/relationships/hyperlink" Target="https://www.meatpoultry.com/articles/33250-looking-ahead-to-a-2026-farm-bill" TargetMode="External"/><Relationship Id="rId19" Type="http://schemas.openxmlformats.org/officeDocument/2006/relationships/hyperlink" Target="https://www.ktvq.com/news/montana-ag-network/montana-ag-network-middle-east-conflict-beginning-to-ripple-through-fertilizer-markets" TargetMode="External"/><Relationship Id="rId20" Type="http://schemas.openxmlformats.org/officeDocument/2006/relationships/hyperlink" Target="https://hpj.com/2026/03/12/some-regions-of-high-plains-received-rain/" TargetMode="External"/><Relationship Id="rId21" Type="http://schemas.openxmlformats.org/officeDocument/2006/relationships/hyperlink" Target="https://www.wastedive.com/news/farm-bill-passes-house-agriculture-committee-food-waste-biogas-provisions/814661/" TargetMode="External"/><Relationship Id="rId22" Type="http://schemas.openxmlformats.org/officeDocument/2006/relationships/hyperlink" Target="https://fortune.com/2026/03/13/iran-war-grocery-prices-oil-fertilizer-strait-of-hormuz/" TargetMode="External"/><Relationship Id="rId23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24" Type="http://schemas.openxmlformats.org/officeDocument/2006/relationships/hyperlink" Target="https://fullertreacymoney.substack.com/p/food-uncertainty-could-get-real-dario" TargetMode="External"/><Relationship Id="rId25" Type="http://schemas.openxmlformats.org/officeDocument/2006/relationships/hyperlink" Target="https://www.brownfieldagnews.com/news/corn-farmers-face-rising-fertilizer-costs-ahead-of-spring-planting/" TargetMode="External"/><Relationship Id="rId26" Type="http://schemas.openxmlformats.org/officeDocument/2006/relationships/hyperlink" Target="https://www.cnbc.com/2026/03/12/iran-war-food-prices-fertilizer-hormuz-countries-impacted-.html" TargetMode="External"/><Relationship Id="rId27" Type="http://schemas.openxmlformats.org/officeDocument/2006/relationships/hyperlink" Target="https://www.kpax.com/news/montana-ag-network/how-the-middle-east-conflict-might-affect-montana-ag-producers" TargetMode="External"/><Relationship Id="rId28" Type="http://schemas.openxmlformats.org/officeDocument/2006/relationships/hyperlink" Target="https://www.cnbc.com/2026/03/12/strait-of-hormuz-closure-sends-fertilizer-prices-soaring-these-stocks-stand-to-benefit.html" TargetMode="External"/><Relationship Id="rId29" Type="http://schemas.openxmlformats.org/officeDocument/2006/relationships/hyperlink" Target="https://www.americanagnetwork.com/2026/03/12/corn-growers-call-for-action-on-e15-to-offset-rising-gas-prices/" TargetMode="External"/><Relationship Id="rId30" Type="http://schemas.openxmlformats.org/officeDocument/2006/relationships/hyperlink" Target="https://www.csmonitor.com/USA/2026/0312/iran-war-farmers-fertilizer-strait-hormuz?icid=rss" TargetMode="External"/><Relationship Id="rId31" Type="http://schemas.openxmlformats.org/officeDocument/2006/relationships/hyperlink" Target="https://www.cbtnews.com/middle-east-conflict-risks-aluminum-plastics-supply/" TargetMode="External"/><Relationship Id="rId32" Type="http://schemas.openxmlformats.org/officeDocument/2006/relationships/hyperlink" Target="https://kalkinemedia.com/au/news/market-updates/asian-fertilizer-shock-reshapes-regional-food-economics" TargetMode="External"/><Relationship Id="rId33" Type="http://schemas.openxmlformats.org/officeDocument/2006/relationships/hyperlink" Target="https://www.dw.com/en/iran-us-israel-war-food-crisis-prices-fertilizer-energy-costs-inflation/a-76286348" TargetMode="External"/><Relationship Id="rId34" Type="http://schemas.openxmlformats.org/officeDocument/2006/relationships/hyperlink" Target="https://www.kaaltv.com/kaal-weather/damaging-wind-gusts-possible-thursday-night-into-friday-followed-by-weekend-winter-storm/" TargetMode="External"/><Relationship Id="rId35" Type="http://schemas.openxmlformats.org/officeDocument/2006/relationships/hyperlink" Target="https://www.biobased-diesel.com/post/fuel-retailers-call-on-congress-to-restore-btc-to-reduce-consumer-price-at-the-pump" TargetMode="External"/><Relationship Id="rId36" Type="http://schemas.openxmlformats.org/officeDocument/2006/relationships/hyperlink" Target="https://www.biobased-diesel.com/post/chevron-agrees-to-pay-1-million-civil-penalty-for-rfs-violations" TargetMode="External"/><Relationship Id="rId37" Type="http://schemas.openxmlformats.org/officeDocument/2006/relationships/hyperlink" Target="https://www.producer.com/op-ed/iran-war-catches-prairie-farmers-in-the-geopolitical-crossfire-again/" TargetMode="External"/><Relationship Id="rId38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39" Type="http://schemas.openxmlformats.org/officeDocument/2006/relationships/hyperlink" Target="https://www.farms.com/news/it-s-another-blow-farmers-deal-with-surging-fertilizer-prices-ahead-of-seeding-239373.aspx" TargetMode="External"/><Relationship Id="rId40" Type="http://schemas.openxmlformats.org/officeDocument/2006/relationships/hyperlink" Target="https://www.wwbl.com/2026/03/11/growing-domestic-demand-ag-leaders-urge-lawmakers-to-expand-biofuels-to-help-corn-and-soybean-producers/" TargetMode="External"/><Relationship Id="rId41" Type="http://schemas.openxmlformats.org/officeDocument/2006/relationships/hyperlink" Target="https://www.morningagclips.com/making-spring-input-purchases-in-times-of-volatile-markets/" TargetMode="External"/><Relationship Id="rId42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43" Type="http://schemas.openxmlformats.org/officeDocument/2006/relationships/hyperlink" Target="https://www.agri-mutuel.com/cultures/la-guerre-au-moyen-orient-met-les-engrais-sous-tension/" TargetMode="External"/><Relationship Id="rId44" Type="http://schemas.openxmlformats.org/officeDocument/2006/relationships/hyperlink" Target="https://www.countrylifeinbc.com/fertilizer-prices-on-the-rise/" TargetMode="External"/><Relationship Id="rId45" Type="http://schemas.openxmlformats.org/officeDocument/2006/relationships/hyperlink" Target="https://www.agriland.ie/farming-news/irish-farmers-face-significant-pressure-on-fertiliser-availability/" TargetMode="External"/><Relationship Id="rId46" Type="http://schemas.openxmlformats.org/officeDocument/2006/relationships/hyperlink" Target="https://grist.org/food-and-agriculture/the-war-in-iran-could-plunge-the-world-into-hunger/" TargetMode="External"/><Relationship Id="rId47" Type="http://schemas.openxmlformats.org/officeDocument/2006/relationships/hyperlink" Target="https://www.americanagnetwork.com/2026/03/11/ag-leaders-testify-on-need-for-more-domestic-demand/" TargetMode="External"/><Relationship Id="rId48" Type="http://schemas.openxmlformats.org/officeDocument/2006/relationships/hyperlink" Target="https://www.brownfieldagnews.com/news/lerner-higher-risk-of-late-season-frost-and-freezes/" TargetMode="External"/><Relationship Id="rId49" Type="http://schemas.openxmlformats.org/officeDocument/2006/relationships/hyperlink" Target="https://www.brownfieldagnews.com/news/missouri-fieldwork-on-pause-due-to-rain-cool-temps-ahead/" TargetMode="External"/><Relationship Id="rId50" Type="http://schemas.openxmlformats.org/officeDocument/2006/relationships/hyperlink" Target="https://www.brownfieldagnews.com/news/midterm-elections-iran-conflict-could-create-opportunities-and-challenges-for-year-round-e-15/" TargetMode="External"/><Relationship Id="rId51" Type="http://schemas.openxmlformats.org/officeDocument/2006/relationships/hyperlink" Target="https://www.eenews.net/articles/chevron-settles-with-doj-over-biofuels-program-violations/" TargetMode="External"/><Relationship Id="rId52" Type="http://schemas.openxmlformats.org/officeDocument/2006/relationships/hyperlink" Target="https://www.thefencepost.com/news/senate-ag-committee-holds-hearing-on-domestic-consumption/" TargetMode="External"/><Relationship Id="rId53" Type="http://schemas.openxmlformats.org/officeDocument/2006/relationships/hyperlink" Target="https://www.tampafp.com/chevron-hits-million-dollar-snag-after-double-counting-biofuel-credits/" TargetMode="External"/><Relationship Id="rId54" Type="http://schemas.openxmlformats.org/officeDocument/2006/relationships/hyperlink" Target="https://zn.ua/ariculture/ahrokhimija-vesny-mineralnye-udobrenija-haz-i-nemnoho-nervov.html" TargetMode="External"/><Relationship Id="rId55" Type="http://schemas.openxmlformats.org/officeDocument/2006/relationships/hyperlink" Target="https://www.riotimesonline.com/brazil-faces-fertilizer-crisis-as-war-and-china-choke-it/" TargetMode="External"/><Relationship Id="rId56" Type="http://schemas.openxmlformats.org/officeDocument/2006/relationships/hyperlink" Target="https://www.rte.ie/news/ireland/2026/0311/1562826-war-irish-farmers/" TargetMode="External"/><Relationship Id="rId57" Type="http://schemas.openxmlformats.org/officeDocument/2006/relationships/hyperlink" Target="https://www.morningagclips.com/ncga-calls-for-increased-demand-for-ethanol-during-congressional-testimony/" TargetMode="External"/><Relationship Id="rId58" Type="http://schemas.openxmlformats.org/officeDocument/2006/relationships/hyperlink" Target="https://www.americanagnetwork.com/2026/03/11/perdue-gives-congressional-testimony-on-domestic-ag-consumption/" TargetMode="External"/><Relationship Id="rId59" Type="http://schemas.openxmlformats.org/officeDocument/2006/relationships/hyperlink" Target="https://fd.nl/bedrijfsleven/1588811/kabinet-steunt-europas-grootste-bioraffinaderij-met-50-mln-om-verder-te-kunnen-vergroenen" TargetMode="External"/><Relationship Id="rId60" Type="http://schemas.openxmlformats.org/officeDocument/2006/relationships/hyperlink" Target="https://www.newsdakota.com/2026/03/11/as-fuel-prices-soar-the-time-is-now-for-immediate-action-on-e15/" TargetMode="External"/><Relationship Id="rId61" Type="http://schemas.openxmlformats.org/officeDocument/2006/relationships/hyperlink" Target="https://www.americanagnetwork.com/2026/03/10/middle-east-attack-affects-u-s-producer/" TargetMode="External"/><Relationship Id="rId62" Type="http://schemas.openxmlformats.org/officeDocument/2006/relationships/hyperlink" Target="https://jornaldebrasilia.com.br/noticias/mundo/eua-fertilizantes-com-alta-nos-precos-agricultores-pedem-intervencao-do-governo/" TargetMode="External"/><Relationship Id="rId63" Type="http://schemas.openxmlformats.org/officeDocument/2006/relationships/hyperlink" Target="https://www.brownfieldagnews.com/news/higher-costs-and-uncertainty-as-iran-conflict-drives-fertilizer-prices-up/" TargetMode="External"/><Relationship Id="rId64" Type="http://schemas.openxmlformats.org/officeDocument/2006/relationships/hyperlink" Target="https://spudsmart.com/optimizing-fertility-in-the-face-of-high-fertilizer-prices/" TargetMode="External"/><Relationship Id="rId65" Type="http://schemas.openxmlformats.org/officeDocument/2006/relationships/hyperlink" Target="http://louisiana.statenews.net/news/278913504/roundup-us-probes-fertilizer-makers-as-iran-war-pushes-farmers-cost-higher" TargetMode="External"/><Relationship Id="rId66" Type="http://schemas.openxmlformats.org/officeDocument/2006/relationships/hyperlink" Target="https://www.ontariofarmer.com/market/middle-east-conflict-sends-shock-waves-through-global-fertilizer-markets" TargetMode="External"/><Relationship Id="rId67" Type="http://schemas.openxmlformats.org/officeDocument/2006/relationships/hyperlink" Target="https://www.wwbl.com/2026/03/10/middle-east-tensions-stir-fertilizer-market-ahead-of-planting/" TargetMode="External"/><Relationship Id="rId68" Type="http://schemas.openxmlformats.org/officeDocument/2006/relationships/hyperlink" Target="https://www.xataka.com/ecologia-y-naturaleza/te-preguntas-que-te-tendria-que-importar-que-pase-iran-tenemos-respuesta-cesta-compra" TargetMode="External"/><Relationship Id="rId69" Type="http://schemas.openxmlformats.org/officeDocument/2006/relationships/hyperlink" Target="https://www.producer.com/markets/war-in-iran-sends-farmers-fuel-fertilizer-costs-soaring/" TargetMode="External"/><Relationship Id="rId70" Type="http://schemas.openxmlformats.org/officeDocument/2006/relationships/hyperlink" Target="https://en.interfax.com.ua/news/economic/1150619.html" TargetMode="External"/><Relationship Id="rId71" Type="http://schemas.openxmlformats.org/officeDocument/2006/relationships/hyperlink" Target="https://www.morningagclips.com/what-does-iran-conflict-mean-beyond-higher-oil-prices/" TargetMode="External"/><Relationship Id="rId72" Type="http://schemas.openxmlformats.org/officeDocument/2006/relationships/hyperlink" Target="https://www.farmprogress.com/markets-and-quotes/morning-market-review" TargetMode="External"/><Relationship Id="rId73" Type="http://schemas.openxmlformats.org/officeDocument/2006/relationships/hyperlink" Target="https://www.radioiowa.com/2026/03/10/grassley-renews-push-for-year-round-nationwide-sales-of-e-15/" TargetMode="External"/><Relationship Id="rId74" Type="http://schemas.openxmlformats.org/officeDocument/2006/relationships/hyperlink" Target="https://www.biofuelsdigest.com/bdigest/fuel-retailers-seek-45z-support-from-senate-agriculture-committee-hearing/" TargetMode="External"/><Relationship Id="rId75" Type="http://schemas.openxmlformats.org/officeDocument/2006/relationships/hyperlink" Target="https://www.lex18.com/news/covering-kentucky/kentucky-farmland-could-help-fuel-the-future-of-aviation-backers-of-house-bill-545-say" TargetMode="External"/><Relationship Id="rId76" Type="http://schemas.openxmlformats.org/officeDocument/2006/relationships/hyperlink" Target="https://www.wwbl.com/2026/03/10/ethanol-could-slash-gas-prices-industry-urges-trump-administration-to-fast-track-e-15-expansion/" TargetMode="External"/><Relationship Id="rId77" Type="http://schemas.openxmlformats.org/officeDocument/2006/relationships/hyperlink" Target="https://www.eenews.net/articles/usda-watches-fertilizer-market-as-iran-war-spikes-prices/" TargetMode="External"/><Relationship Id="rId78" Type="http://schemas.openxmlformats.org/officeDocument/2006/relationships/hyperlink" Target="https://www.klkntv.com/nebraska-farmers-faced-with-skyrocketing-fuel-and-fertilizer-costs-as-war-surges-overseas/" TargetMode="External"/><Relationship Id="rId79" Type="http://schemas.openxmlformats.org/officeDocument/2006/relationships/hyperlink" Target="https://www.business-standard.com/markets/news/fertiliser-stocks-in-demand-rcf-chambal-deepak-gsfc-gnfc-zoom-upto-12-126031000447_1.html" TargetMode="External"/><Relationship Id="rId80" Type="http://schemas.openxmlformats.org/officeDocument/2006/relationships/hyperlink" Target="https://www.channelstv.com/2026/03/10/fertiliser-prices-surge-from-iran-war/" TargetMode="External"/><Relationship Id="rId81" Type="http://schemas.openxmlformats.org/officeDocument/2006/relationships/hyperlink" Target="https://investorsking.com/2026/03/10/iran-conflict-disrupts-fertiliser-supply-boosts-demand-for-dangote-products/" TargetMode="External"/><Relationship Id="rId82" Type="http://schemas.openxmlformats.org/officeDocument/2006/relationships/hyperlink" Target="https://biz.chosun.com/en/en-international/2026/03/09/LOFE4DRY3ZALZOIOBDFDEOXYE4/" TargetMode="External"/><Relationship Id="rId83" Type="http://schemas.openxmlformats.org/officeDocument/2006/relationships/hyperlink" Target="https://www.oneindia.com/india/after-lpg-supply-shock-will-food-shortage-be-next-hormuz-crisis-could-hit-farmers-worldwide-8021865.html" TargetMode="External"/><Relationship Id="rId84" Type="http://schemas.openxmlformats.org/officeDocument/2006/relationships/hyperlink" Target="https://www.foodsecurityportal.org/node/3808" TargetMode="External"/><Relationship Id="rId85" Type="http://schemas.openxmlformats.org/officeDocument/2006/relationships/hyperlink" Target="https://drgnews.com/2026/03/09/american-farm-bureau-federation-middle-east-tensions-raise-spring-planting-concerns/" TargetMode="External"/><Relationship Id="rId86" Type="http://schemas.openxmlformats.org/officeDocument/2006/relationships/hyperlink" Target="https://alkambatimes.com/from-the-strait-of-hormuz-to-african-markets-how-the-persian-gulf-region-conflict-could-deepen-food-insecurity/" TargetMode="External"/><Relationship Id="rId87" Type="http://schemas.openxmlformats.org/officeDocument/2006/relationships/hyperlink" Target="https://www.benzinga.com/etfs/sector-etfs/26/03/51146306/exclusive-were-past-real-disruption-teucrium-cgo-war-fuels-food-inflation-fears" TargetMode="External"/><Relationship Id="rId88" Type="http://schemas.openxmlformats.org/officeDocument/2006/relationships/hyperlink" Target="https://www.agdaily.com/crops/middle-east-tensions-threaten-fertilizer-supplies-as-u-s-farmers-begin-spring-planting/" TargetMode="External"/><Relationship Id="rId89" Type="http://schemas.openxmlformats.org/officeDocument/2006/relationships/hyperlink" Target="https://www.kaaltv.com/kaal-weather/several-precipitation-chances-this-week-with-a-potential-winter-storm-this-weekend/" TargetMode="External"/><Relationship Id="rId90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91" Type="http://schemas.openxmlformats.org/officeDocument/2006/relationships/hyperlink" Target="https://www.kcci.com/article/iowa-weather-near-record-warmth-today-cooler-mid-week/70672702" TargetMode="External"/><Relationship Id="rId92" Type="http://schemas.openxmlformats.org/officeDocument/2006/relationships/hyperlink" Target="https://www.kaaltv.com/kaal-weather/trending-more-active-this-week-with-no-short-supply-of-temperatures-swings/" TargetMode="External"/><Relationship Id="rId93" Type="http://schemas.openxmlformats.org/officeDocument/2006/relationships/hyperlink" Target="https://www.perfil.com/noticias/canal-e/la-suba-del-petroleo-amenaza-con-disparar-los-costos-del-campo-argentino.phtml" TargetMode="External"/><Relationship Id="rId94" Type="http://schemas.openxmlformats.org/officeDocument/2006/relationships/hyperlink" Target="https://www.theborneopost.com/2026/03/06/sarawak-promotes-cluster-farming-to-tackle-high-feed-costs-says-minister/" TargetMode="External"/><Relationship Id="rId95" Type="http://schemas.openxmlformats.org/officeDocument/2006/relationships/hyperlink" Target="https://www.irstaxapp.com/wall-street-sees-windfall-as-biofuel-makers-tap-federal-credits/" TargetMode="External"/><Relationship Id="rId96" Type="http://schemas.openxmlformats.org/officeDocument/2006/relationships/hyperlink" Target="https://www.marketbeat.com/instant-alerts/green-plains-nasdaqgpre-sets-new-1-year-high-heres-why-2026-03-06/" TargetMode="External"/><Relationship Id="rId97" Type="http://schemas.openxmlformats.org/officeDocument/2006/relationships/hyperlink" Target="https://www.maritimeprofessional.com/news/fertilizer-prices-surge-416546" TargetMode="External"/><Relationship Id="rId98" Type="http://schemas.openxmlformats.org/officeDocument/2006/relationships/hyperlink" Target="https://www.brownfieldagnews.com/news/drought-relief-could-be-coming-soon-for-much-of-the-midwest/" TargetMode="External"/><Relationship Id="rId99" Type="http://schemas.openxmlformats.org/officeDocument/2006/relationships/hyperlink" Target="https://www.jdsupra.com/legalnews/treasury-proposes-clean-fuel-production-4076403/" TargetMode="External"/><Relationship Id="rId100" Type="http://schemas.openxmlformats.org/officeDocument/2006/relationships/hyperlink" Target="https://www.brownfieldagnews.com/news/ethanol-stocks-exports-rise-on-week-as-production-dips/" TargetMode="External"/><Relationship Id="rId101" Type="http://schemas.openxmlformats.org/officeDocument/2006/relationships/hyperlink" Target="https://www.brownfieldagnews.com/news/record-high-input-costs-top-farmers-concerns-again/" TargetMode="External"/><Relationship Id="rId102" Type="http://schemas.openxmlformats.org/officeDocument/2006/relationships/hyperlink" Target="https://www.jamestownsun.com/business/ndsu-crop-budget-projections-show-low-returns-for-2026" TargetMode="External"/><Relationship Id="rId103" Type="http://schemas.openxmlformats.org/officeDocument/2006/relationships/hyperlink" Target="https://www.wrtv.com/news/local-news/its-always-a-gamble-indiana-farmers-watch-weather-as-drought-deepens" TargetMode="External"/><Relationship Id="rId104" Type="http://schemas.openxmlformats.org/officeDocument/2006/relationships/hyperlink" Target="https://connachttribune.ie/soil-testing-and-correct-ph-levels-are-the-basic-starting-points-for-soil-efficiency/" TargetMode="External"/><Relationship Id="rId105" Type="http://schemas.openxmlformats.org/officeDocument/2006/relationships/hyperlink" Target="https://www.brownfieldagnews.com/news/transition-to-el-nino-could-bring-more-dry-weather-for-midwest/" TargetMode="External"/><Relationship Id="rId106" Type="http://schemas.openxmlformats.org/officeDocument/2006/relationships/hyperlink" Target="https://www.dtnpf.com/agriculture/web/ag/blogs/market-matters-blog/blog-post/2026/02/06/dtn-weekly-ddg-price-higher-average" TargetMode="External"/><Relationship Id="rId107" Type="http://schemas.openxmlformats.org/officeDocument/2006/relationships/hyperlink" Target="https://www.wwbl.com/2026/02/10/export-demand-explodes-usda-cuts-corn-inventories-by-100-million-bushels-in-february-wasde-report/" TargetMode="External"/><Relationship Id="rId108" Type="http://schemas.openxmlformats.org/officeDocument/2006/relationships/hyperlink" Target="https://www.agweek.com/weather/spring-planting-could-be-slow-weather-expert-predicts" TargetMode="External"/><Relationship Id="rId109" Type="http://schemas.openxmlformats.org/officeDocument/2006/relationships/hyperlink" Target="https://chronicleillinois.com/agriculture-news/historically-dry-conditions-in-2025-boost-drought-issues/" TargetMode="External"/><Relationship Id="rId110" Type="http://schemas.openxmlformats.org/officeDocument/2006/relationships/hyperlink" Target="https://www.swineweb.com/chinas-feed-production-surges-ahead-of-meat-growth/" TargetMode="External"/><Relationship Id="rId111" Type="http://schemas.openxmlformats.org/officeDocument/2006/relationships/hyperlink" Target="https://www.brownfieldagnews.com/news/midwestern-drought-expected-to-linger/" TargetMode="External"/><Relationship Id="rId112" Type="http://schemas.openxmlformats.org/officeDocument/2006/relationships/hyperlink" Target="https://www.lex18.com/news/covering-kentucky/how-conflict-in-the-middle-east-is-impacting-kentucky-farmers-this-spring" TargetMode="External"/><Relationship Id="rId113" Type="http://schemas.openxmlformats.org/officeDocument/2006/relationships/hyperlink" Target="https://www.producer.com/am-market-reports/corn-exports-lead-the-way/" TargetMode="External"/><Relationship Id="rId114" Type="http://schemas.openxmlformats.org/officeDocument/2006/relationships/hyperlink" Target="https://www.radioiowa.com/2026/02/06/only-three-iowa-counties-are-in-drought-but-almost-half-are-very-dry/" TargetMode="External"/><Relationship Id="rId115" Type="http://schemas.openxmlformats.org/officeDocument/2006/relationships/hyperlink" Target="https://kansaslivingmagazine.com/articles/2026/02/06/how-kansas-farmers-manage-weather-safety-and-inputs" TargetMode="External"/><Relationship Id="rId116" Type="http://schemas.openxmlformats.org/officeDocument/2006/relationships/hyperlink" Target="https://www.brownfieldagnews.com/news/snow-drought-above-normal-temps-shape-midwest-weather-outlook/" TargetMode="External"/><Relationship Id="rId117" Type="http://schemas.openxmlformats.org/officeDocument/2006/relationships/hyperlink" Target="https://www.finedayradio.com/news/tv-delmarva-channel-33/midwest-farmers-get-promising-weather-forecast-through-early-march/" TargetMode="External"/><Relationship Id="rId118" Type="http://schemas.openxmlformats.org/officeDocument/2006/relationships/hyperlink" Target="https://www.brownfieldagnews.com/news/drought-deepens-in-the-western-corn-belt-as-ranchers-wait-for-spring-moisture/" TargetMode="External"/><Relationship Id="rId119" Type="http://schemas.openxmlformats.org/officeDocument/2006/relationships/hyperlink" Target="https://www.morningagclips.com/weather-whiplash-raises-financial-risk-for-ohio-farmers/" TargetMode="External"/><Relationship Id="rId120" Type="http://schemas.openxmlformats.org/officeDocument/2006/relationships/hyperlink" Target="https://www.agweek.com/business/markets/is-year-round-e15-the-next-big-demand-shift-or-just-noise" TargetMode="External"/><Relationship Id="rId121" Type="http://schemas.openxmlformats.org/officeDocument/2006/relationships/hyperlink" Target="https://www.jdsupra.com/legalnews/new-45z-clean-fuel-credits-regs-60-days-1790973/" TargetMode="External"/><Relationship Id="rId122" Type="http://schemas.openxmlformats.org/officeDocument/2006/relationships/hyperlink" Target="https://www.cpapracticeadvisor.com/2026/02/06/irs-issues-proposed-rules-on-clean-fuel-tax-credit/177638/" TargetMode="External"/><Relationship Id="rId123" Type="http://schemas.openxmlformats.org/officeDocument/2006/relationships/hyperlink" Target="https://www.stl.news/trump-pushes-year-round-e-15-fuel-sales/" TargetMode="External"/><Relationship Id="rId124" Type="http://schemas.openxmlformats.org/officeDocument/2006/relationships/hyperlink" Target="https://www.morningagclips.com/asa-and-nopa-applaud-treasurys-updated-45z-guidance/" TargetMode="External"/><Relationship Id="rId125" Type="http://schemas.openxmlformats.org/officeDocument/2006/relationships/hyperlink" Target="https://www.foodbusinessnews.net/articles/29747-adm-earnings-decline-amid-lower-crush-margins" TargetMode="External"/><Relationship Id="rId126" Type="http://schemas.openxmlformats.org/officeDocument/2006/relationships/hyperlink" Target="https://www.fueliowa.com/latest-news.cfm/Article/INDUSTRY-NEWS/EMA-Calls-for-Permanent-Year_Round-E15-Waiver" TargetMode="External"/><Relationship Id="rId127" Type="http://schemas.openxmlformats.org/officeDocument/2006/relationships/hyperlink" Target="https://www.americanagnetwork.com/2026/02/09/45z-guidance-brings-clarity-but-epa-decisions-still-hold-the-key-for-renewable-fuels/" TargetMode="External"/><Relationship Id="rId128" Type="http://schemas.openxmlformats.org/officeDocument/2006/relationships/hyperlink" Target="https://www.americanagnetwork.com/2026/02/10/year-round-e15-seen-as-key-demand-driver-as-corn-growers-await-policy-clarity/" TargetMode="External"/><Relationship Id="rId129" Type="http://schemas.openxmlformats.org/officeDocument/2006/relationships/hyperlink" Target="https://www.mitchellrepublic.com/opinion/columns/guebert-theres-no-heresy-in-the-law-of-supply-and-demand" TargetMode="External"/><Relationship Id="rId130" Type="http://schemas.openxmlformats.org/officeDocument/2006/relationships/hyperlink" Target="https://www.mnbiofuels.org/media-mba/blog/item/4209:mn-bio-fuels-highlights-importance-of-year-round-e15-at-klobuchar-ag-roundtable" TargetMode="External"/><Relationship Id="rId131" Type="http://schemas.openxmlformats.org/officeDocument/2006/relationships/hyperlink" Target="https://www.brownfieldagnews.com/news/ag-economist-year-round-e15-approval-first-step-in-expanding-corn-biofuels-market/" TargetMode="External"/><Relationship Id="rId132" Type="http://schemas.openxmlformats.org/officeDocument/2006/relationships/hyperlink" Target="https://dcjournal.com/repeal-the-renewable-fuel-standard/" TargetMode="External"/><Relationship Id="rId133" Type="http://schemas.openxmlformats.org/officeDocument/2006/relationships/hyperlink" Target="https://www.americanagnetwork.com/2026/02/11/farmers-families-need-year-round-e15-now/" TargetMode="External"/><Relationship Id="rId134" Type="http://schemas.openxmlformats.org/officeDocument/2006/relationships/hyperlink" Target="https://www.brownfieldagnews.com/news/corn-farmer-urges-dc-to-deliver-on-nationwide-e15/" TargetMode="External"/><Relationship Id="rId135" Type="http://schemas.openxmlformats.org/officeDocument/2006/relationships/hyperlink" Target="https://drgnews.com/2026/02/12/year-round-e15-push-needs-action-by-sunday/" TargetMode="External"/><Relationship Id="rId136" Type="http://schemas.openxmlformats.org/officeDocument/2006/relationships/hyperlink" Target="https://www.dailysignal.com/2026/02/12/house-reps-try-to-reconcile-farm-and-oil-interests-in-e15-talks/" TargetMode="External"/><Relationship Id="rId137" Type="http://schemas.openxmlformats.org/officeDocument/2006/relationships/hyperlink" Target="https://www.dodgeglobe.com/renewable-fuels-association-pushes-for-year-round-e15-sales-amid-legislative-setback/" TargetMode="External"/><Relationship Id="rId138" Type="http://schemas.openxmlformats.org/officeDocument/2006/relationships/hyperlink" Target="https://www.brownfieldagnews.com/news/biofuel-backers-await-congressional-framework-on-nationwide-e15/" TargetMode="External"/><Relationship Id="rId139" Type="http://schemas.openxmlformats.org/officeDocument/2006/relationships/hyperlink" Target="https://www.eenews.net/articles/potential-deal-emerges-to-settle-disputes-on-e15/" TargetMode="External"/><Relationship Id="rId140" Type="http://schemas.openxmlformats.org/officeDocument/2006/relationships/hyperlink" Target="https://www.chinimandi.com/us-house-panel-advances-talks-on-year-round-e15-ethanol/" TargetMode="External"/><Relationship Id="rId141" Type="http://schemas.openxmlformats.org/officeDocument/2006/relationships/hyperlink" Target="https://biofuelscentral.com/epa-expected-to-send-2026-biofuel-blending-quotas-to-white-house-this-week/" TargetMode="External"/><Relationship Id="rId142" Type="http://schemas.openxmlformats.org/officeDocument/2006/relationships/hyperlink" Target="https://www.chinimandi.com/iowa-growers-urge-president-trump-for-nationwide-e15-approval-as-deadline-passes/" TargetMode="External"/><Relationship Id="rId143" Type="http://schemas.openxmlformats.org/officeDocument/2006/relationships/hyperlink" Target="https://www.brownfieldagnews.com/news/farm-financial-stress-deepens-amid-ethanol-policy-delays/" TargetMode="External"/><Relationship Id="rId144" Type="http://schemas.openxmlformats.org/officeDocument/2006/relationships/hyperlink" Target="https://www.eenews.net/articles/top-usda-official-touts-year-round-higher-ethanol-fuel/" TargetMode="External"/><Relationship Id="rId145" Type="http://schemas.openxmlformats.org/officeDocument/2006/relationships/hyperlink" Target="https://www.city-journal.org/article/food-prices-epa-renewable-fuel-standard" TargetMode="External"/><Relationship Id="rId146" Type="http://schemas.openxmlformats.org/officeDocument/2006/relationships/hyperlink" Target="https://www.biofuelsdigest.com/bdigest/rfa-growth-energy-and-ncga-frustrated-by-lack-of-progress-towards-year-round-e15/" TargetMode="External"/><Relationship Id="rId147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48" Type="http://schemas.openxmlformats.org/officeDocument/2006/relationships/hyperlink" Target="https://www.swineweb.com/strong-corn-exports-and-rising-ethanol-demand-shape-february-feed-outlook/" TargetMode="External"/><Relationship Id="rId149" Type="http://schemas.openxmlformats.org/officeDocument/2006/relationships/hyperlink" Target="https://www.newsdakota.com/2026/02/20/congressional-ethanol-group-tweaks-e15-proposal/" TargetMode="External"/><Relationship Id="rId150" Type="http://schemas.openxmlformats.org/officeDocument/2006/relationships/hyperlink" Target="https://www.thefencepost.com/news/ag-groups-detail-e15-demands/" TargetMode="External"/><Relationship Id="rId151" Type="http://schemas.openxmlformats.org/officeDocument/2006/relationships/hyperlink" Target="https://www.americanagnetwork.com/2026/02/20/growth-energy-celebrates-banner-year-for-ethanol-exports/" TargetMode="External"/><Relationship Id="rId152" Type="http://schemas.openxmlformats.org/officeDocument/2006/relationships/hyperlink" Target="https://www.brownfieldagnews.com/news/rollins-congress-must-act-on-nationwide-e15/" TargetMode="External"/><Relationship Id="rId153" Type="http://schemas.openxmlformats.org/officeDocument/2006/relationships/hyperlink" Target="https://www.aol.com/divided-us-appeals-court-allows-163919590.html" TargetMode="External"/><Relationship Id="rId154" Type="http://schemas.openxmlformats.org/officeDocument/2006/relationships/hyperlink" Target="https://www.bleedingheartland.com/2026/02/20/too-much-corn/" TargetMode="External"/><Relationship Id="rId155" Type="http://schemas.openxmlformats.org/officeDocument/2006/relationships/hyperlink" Target="https://www.eenews.net/articles/congress-speeds-toward-deadline-for-e15-compromise/" TargetMode="External"/><Relationship Id="rId156" Type="http://schemas.openxmlformats.org/officeDocument/2006/relationships/hyperlink" Target="https://www.insideindianabusiness.com/articles/braun-pushes-permanent-year-round-e-15-seeks-boost-for-corn-and-ethanol-producers" TargetMode="External"/><Relationship Id="rId157" Type="http://schemas.openxmlformats.org/officeDocument/2006/relationships/hyperlink" Target="https://www.brownfieldagnews.com/news/poet-founder-urges-congress-to-move-e15-legislation-to-trumps-desk/" TargetMode="External"/><Relationship Id="rId158" Type="http://schemas.openxmlformats.org/officeDocument/2006/relationships/hyperlink" Target="https://www.brownfieldagnews.com/news/kehoe-says-e15-expansion-would-boost-corn-markets-urges-congressional-action/" TargetMode="External"/><Relationship Id="rId159" Type="http://schemas.openxmlformats.org/officeDocument/2006/relationships/hyperlink" Target="https://www.brownfieldagnews.com/news/breaking-2026-and-27-renewable-volume-obligations-sent-to-omb/" TargetMode="External"/><Relationship Id="rId160" Type="http://schemas.openxmlformats.org/officeDocument/2006/relationships/hyperlink" Target="https://rollcall.com/2026/02/26/house-misses-its-own-deadline-for-bill-to-expand-ethanol-sales/" TargetMode="External"/><Relationship Id="rId161" Type="http://schemas.openxmlformats.org/officeDocument/2006/relationships/hyperlink" Target="https://www.radioiowa.com/2026/02/26/ethanol-industry-leader-not-optimistic-congress-will-reach-e15-deal/" TargetMode="External"/><Relationship Id="rId162" Type="http://schemas.openxmlformats.org/officeDocument/2006/relationships/hyperlink" Target="https://www.brownfieldagnews.com/news/policy-support-key-as-canada-remains-largest-u-s-ethanol-customer/" TargetMode="External"/><Relationship Id="rId163" Type="http://schemas.openxmlformats.org/officeDocument/2006/relationships/hyperlink" Target="https://www.newsdakota.com/2026/02/26/national-ethanol-conference-celebrates-a-record-2025/" TargetMode="External"/><Relationship Id="rId164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65" Type="http://schemas.openxmlformats.org/officeDocument/2006/relationships/hyperlink" Target="https://tcbmag.com/we-have-a-corn-problem-how-do-we-solve-it/" TargetMode="External"/><Relationship Id="rId166" Type="http://schemas.openxmlformats.org/officeDocument/2006/relationships/hyperlink" Target="https://www.westernkansasnews.com/governor-kelly-urges-congressional-action-on-year-round-e15/" TargetMode="External"/><Relationship Id="rId167" Type="http://schemas.openxmlformats.org/officeDocument/2006/relationships/hyperlink" Target="https://wattsupwiththat.com/2026/03/02/ethanol-mandates-are-dead-long-live-saf-sustainable-aviation-fuel/" TargetMode="External"/><Relationship Id="rId168" Type="http://schemas.openxmlformats.org/officeDocument/2006/relationships/hyperlink" Target="https://www.biofuelsdigest.com/bdigest/rfa-says-year-round-e15-even-more-important-due-to-middle-east-tensions/" TargetMode="External"/><Relationship Id="rId169" Type="http://schemas.openxmlformats.org/officeDocument/2006/relationships/hyperlink" Target="https://www.biofuelsdigest.com/bdigest/fapri-report-shows-benefits-of-year-round-e15/" TargetMode="External"/><Relationship Id="rId170" Type="http://schemas.openxmlformats.org/officeDocument/2006/relationships/hyperlink" Target="https://www.morningagclips.com/nopa-asa-and-cfaa-welcome-progress-on-final-2026-27-rfs-volumes/" TargetMode="External"/><Relationship Id="rId171" Type="http://schemas.openxmlformats.org/officeDocument/2006/relationships/hyperlink" Target="https://www.morningagclips.com/michigan-farm-bureau-urges-congress-to-act-on-e15/" TargetMode="External"/><Relationship Id="rId172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