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(HG) | 2026-03-12 16:30 UTC [VZQK]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 (HG)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copper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low_authority_mix_overhang</w:t>
      </w:r>
      <w:r/>
    </w:p>
    <w:p>
      <w:pPr>
        <w:pStyle w:val="ListBullet"/>
        <w:spacing w:line="240" w:lineRule="auto"/>
        <w:ind w:left="720"/>
      </w:pPr>
      <w:r/>
      <w:r>
        <w:t>generated_at: 2026-03-12T16:30:00Z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B-copper-001</w:t>
            </w:r>
          </w:p>
        </w:tc>
        <w:tc>
          <w:tcPr>
            <w:tcW w:type="dxa" w:w="1040"/>
          </w:tcPr>
          <w:p>
            <w:r>
              <w:t>Near-term copper sentiment is skewed upward on supply-side tightness/disruption narratives and scarcity framing, outweighing macro headwinds.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69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B-copper-002</w:t>
            </w:r>
          </w:p>
        </w:tc>
        <w:tc>
          <w:tcPr>
            <w:tcW w:type="dxa" w:w="1040"/>
          </w:tcPr>
          <w:p>
            <w:r>
              <w:t>Infrastructure/grid modernisation and energy-transition capex themes continue to support copper demand expectations and keep dips bid.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69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B-copper-003</w:t>
            </w:r>
          </w:p>
        </w:tc>
        <w:tc>
          <w:tcPr>
            <w:tcW w:type="dxa" w:w="1040"/>
          </w:tcPr>
          <w:p>
            <w:r>
              <w:t>Trade-policy headlines increase short-horizon whipsaw risk even if the directional bias remains upward.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69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"6B-20260312T163000Z-copper",</w:t>
        <w:br/>
        <w:t xml:space="preserve"> "timestamp_utc": "2026-03-12T16:30:00Z",</w:t>
        <w:br/>
        <w:t xml:space="preserve"> "primary_asset_focus": {</w:t>
        <w:br/>
        <w:t xml:space="preserve"> "name": "Copper futures (HG)",</w:t>
        <w:br/>
        <w:t xml:space="preserve"> "market_code": "copper"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69,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"copper",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"copper"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"B-copper-001",</w:t>
        <w:br/>
        <w:t xml:space="preserve"> "market": "copper",</w:t>
        <w:br/>
        <w:t xml:space="preserve"> "claim": "Near-term copper sentiment is skewed upward on supply-side tightness/disruption narratives and scarcity framing, outweighing macro headwinds.",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"mine_supply_disruption_risk (BHP/Freeport/Capstone-linked disruption narratives)",</w:t>
        <w:br/>
        <w:t xml:space="preserve"> "supply_deficit_scarcity framing (incl. dealer/strategist commentary + LME-linked context)",</w:t>
        <w:br/>
        <w:t xml:space="preserve"> "inventory/tightness signalling via market commentary bundles"</w:t>
        <w:br/>
        <w:t xml:space="preserve"> ],</w:t>
        <w:br/>
        <w:t xml:space="preserve"> "contradicted_by": [</w:t>
        <w:br/>
        <w:t xml:space="preserve"> "usd_strength (macro headwind not strongly represented in the admitted feed)",</w:t>
        <w:br/>
        <w:t xml:space="preserve"> "policy/trade-policy uncertainty introducing volatility"</w:t>
        <w:br/>
        <w:t xml:space="preserve"> ]</w:t>
        <w:br/>
        <w:t xml:space="preserve"> },</w:t>
        <w:br/>
        <w:t xml:space="preserve"> {</w:t>
        <w:br/>
        <w:t xml:space="preserve"> "belief_id": "B-copper-002",</w:t>
        <w:br/>
        <w:t xml:space="preserve"> "market": "copper",</w:t>
        <w:br/>
        <w:t xml:space="preserve"> "claim": "Infrastructure/grid modernisation and energy-transition capex themes continue to support copper demand expectations and keep dips bid.",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"electric grid modernisation theme",</w:t>
        <w:br/>
        <w:t xml:space="preserve"> "industrial policy / decarbonisation planning",</w:t>
        <w:br/>
        <w:t xml:space="preserve"> "infrastructure development network effects"</w:t>
        <w:br/>
        <w:t xml:space="preserve"> ],</w:t>
        <w:br/>
        <w:t xml:space="preserve"> "contradicted_by": [</w:t>
        <w:br/>
        <w:t xml:space="preserve"> "demand-side disappointment risk (not directly observed as a fresh counter-signal in this cycle)"</w:t>
        <w:br/>
        <w:t xml:space="preserve"> ]</w:t>
        <w:br/>
        <w:t xml:space="preserve"> },</w:t>
        <w:br/>
        <w:t xml:space="preserve"> {</w:t>
        <w:br/>
        <w:t xml:space="preserve"> "belief_id": "B-copper-003",</w:t>
        <w:br/>
        <w:t xml:space="preserve"> "market": "copper",</w:t>
        <w:br/>
        <w:t xml:space="preserve"> "claim": "Trade-policy headlines increase short-horizon whipsaw risk even if the directional bias remains upward.",</w:t>
        <w:br/>
        <w:t xml:space="preserve"> "probability_pct": 55,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"US trade-policy narrative stream (political/regulatory uncertainty)"</w:t>
        <w:br/>
        <w:t xml:space="preserve"> ],</w:t>
        <w:br/>
        <w:t xml:space="preserve"> "contradicted_by": [</w:t>
        <w:br/>
        <w:t xml:space="preserve"> "lack of explicit fresh bearish copper-specific demand shocks in admitted signals"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"copper",</w:t>
        <w:br/>
        <w:t xml:space="preserve"> "directional_state": "bullish",</w:t>
        <w:br/>
        <w:t xml:space="preserve"> "momentum_state": "strengthening",</w:t>
        <w:br/>
        <w:t xml:space="preserve"> "reversal_risk": "low",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69,</w:t>
        <w:br/>
        <w:t xml:space="preserve"> "supporting_belief_ids": [</w:t>
        <w:br/>
        <w:t xml:space="preserve"> "B-copper-001",</w:t>
        <w:br/>
        <w:t xml:space="preserve"> "B-copper-002",</w:t>
        <w:br/>
        <w:t xml:space="preserve"> "B-copper-003"</w:t>
        <w:br/>
        <w:t xml:space="preserve"> ],</w:t>
        <w:br/>
        <w:t xml:space="preserve"> "diagnostic_directional_score_signed": 58,</w:t>
        <w:br/>
        <w:t xml:space="preserve"> "reversal_triggered": false,</w:t>
        <w:br/>
        <w:t xml:space="preserve"> "reversal_evidence_summary": "No strong fresh opposite-direction (bearish) acceleration detected in admitted signals; risk is dominated by headline volatility rather than a confirmed reversal pattern."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"flag_id": "RF-copper-001",</w:t>
        <w:br/>
        <w:t xml:space="preserve"> "market": "copper",</w:t>
        <w:br/>
        <w:t xml:space="preserve"> "severity": "medium",</w:t>
        <w:br/>
        <w:t xml:space="preserve"> "label": "low_authority_mix_overhang",</w:t>
        <w:br/>
        <w:t xml:space="preserve"> "detail": "A meaningful share of reinforcement comes from lower-tier domains; conviction capped and fragility elevated despite fresh timestamps."</w:t>
        <w:br/>
        <w:t xml:space="preserve"> },</w:t>
        <w:br/>
        <w:t xml:space="preserve"> {</w:t>
        <w:br/>
        <w:t xml:space="preserve"> "flag_id": "RF-copper-002",</w:t>
        <w:br/>
        <w:t xml:space="preserve"> "market": "copper",</w:t>
        <w:br/>
        <w:t xml:space="preserve"> "severity": "medium",</w:t>
        <w:br/>
        <w:t xml:space="preserve"> "label": "policy_headline_whipsaw_risk",</w:t>
        <w:br/>
        <w:t xml:space="preserve"> "detail": "Trade-policy narrative stream is fresh and can introduce abrupt sentiment swings without clear fundamental follow-through."</w:t>
        <w:br/>
        <w:t xml:space="preserve"> },</w:t>
        <w:br/>
        <w:t xml:space="preserve"> {</w:t>
        <w:br/>
        <w:t xml:space="preserve"> "flag_id": "RF-copper-003",</w:t>
        <w:br/>
        <w:t xml:space="preserve"> "market": "copper",</w:t>
        <w:br/>
        <w:t xml:space="preserve"> "severity": "low",</w:t>
        <w:br/>
        <w:t xml:space="preserve"> "label": "echo_risk_single_source_vips",</w:t>
        <w:br/>
        <w:t xml:space="preserve"> "detail": "Some VIP outliers are single-source and should not be treated as standalone high-conviction drivers."</w:t>
        <w:br/>
        <w:t xml:space="preserve"> },</w:t>
        <w:br/>
        <w:t xml:space="preserve"> {</w:t>
        <w:br/>
        <w:t xml:space="preserve"> "flag_id": "RF-copper-004",</w:t>
        <w:br/>
        <w:t xml:space="preserve"> "market": "copper",</w:t>
        <w:br/>
        <w:t xml:space="preserve"> "severity": "low",</w:t>
        <w:br/>
        <w:t xml:space="preserve"> "label": "macro_headwind_underrepresented",</w:t>
        <w:br/>
        <w:t xml:space="preserve"> "detail": "USD-strength arena is in the flight plan but is not strongly represented in fresh admitted evidence; risk of blind spot."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"copper",</w:t>
        <w:br/>
        <w:t xml:space="preserve"> "action": "watch_long_bias",</w:t>
        <w:br/>
        <w:t xml:space="preserve"> "confidence": "medium",</w:t>
        <w:br/>
        <w:t xml:space="preserve"> "trigger_condition": "Maintain bullish bias while directional_score_signed stays &gt;= +40 for 2+ consecutive 1h buckets AND contradiction_ratio remains &lt;= 0.10."</w:t>
        <w:br/>
        <w:t xml:space="preserve"> },</w:t>
        <w:br/>
        <w:t xml:space="preserve"> {</w:t>
        <w:br/>
        <w:t xml:space="preserve"> "market": "copper",</w:t>
        <w:br/>
        <w:t xml:space="preserve"> "action": "volatility_watch",</w:t>
        <w:br/>
        <w:t xml:space="preserve"> "confidence": "medium",</w:t>
        <w:br/>
        <w:t xml:space="preserve"> "trigger_condition": "Escalate volatility watch if a fresh (&lt;=2h) policy/trade headline cluster appears alongside a contradiction_ratio jump &gt;= +0.05 vs prior 6h average."</w:t>
        <w:br/>
        <w:t xml:space="preserve"> },</w:t>
        <w:br/>
        <w:t xml:space="preserve"> {</w:t>
        <w:br/>
        <w:t xml:space="preserve"> "market": "copper",</w:t>
        <w:br/>
        <w:t xml:space="preserve"> "action": "reversal_watch",</w:t>
        <w:br/>
        <w:t xml:space="preserve"> "confidence": "low",</w:t>
        <w:br/>
        <w:t xml:space="preserve"> "trigger_condition": "Upgrade to reversal watch if directional_score_signed falls below +20 within 3 hours AND fresh_evidence_count includes explicit bearish copper demand signals."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"copper"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"2026-03-11T16:30:00Z",</w:t>
        <w:br/>
        <w:t xml:space="preserve"> "bucket_end_utc": "2026-03-11T17:30:00Z",</w:t>
        <w:br/>
        <w:t xml:space="preserve"> "directional_score_signed": 12,</w:t>
        <w:br/>
        <w:t xml:space="preserve"> "bullish_pressure_score": 17,</w:t>
        <w:br/>
        <w:t xml:space="preserve"> "bearish_pressure_score": 5,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0.1,</w:t>
        <w:br/>
        <w:t xml:space="preserve"> "fresh_evidence_count": 0,</w:t>
        <w:br/>
        <w:t xml:space="preserve"> "stale_evidence_count": 5,</w:t>
        <w:br/>
        <w:t xml:space="preserve"> "conviction_score_0_100": 21,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"2026-03-11T17:30:00Z",</w:t>
        <w:br/>
        <w:t xml:space="preserve"> "bucket_end_utc": "2026-03-11T18:30:00Z",</w:t>
        <w:br/>
        <w:t xml:space="preserve"> "directional_score_signed": 14,</w:t>
        <w:br/>
        <w:t xml:space="preserve"> "bullish_pressure_score": 19,</w:t>
        <w:br/>
        <w:t xml:space="preserve"> "bearish_pressure_score": 5,</w:t>
        <w:br/>
        <w:t xml:space="preserve"> "net_sentiment_score": 14,</w:t>
        <w:br/>
        <w:t xml:space="preserve"> "velocity_score": 2,</w:t>
        <w:br/>
        <w:t xml:space="preserve"> "acceleration_score": 2,</w:t>
        <w:br/>
        <w:t xml:space="preserve"> "contradiction_ratio": 0.1,</w:t>
        <w:br/>
        <w:t xml:space="preserve"> "fresh_evidence_count": 0,</w:t>
        <w:br/>
        <w:t xml:space="preserve"> "stale_evidence_count": 5,</w:t>
        <w:br/>
        <w:t xml:space="preserve"> "conviction_score_0_100": 23,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"2026-03-11T18:30:00Z",</w:t>
        <w:br/>
        <w:t xml:space="preserve"> "bucket_end_utc": "2026-03-11T19:30:00Z",</w:t>
        <w:br/>
        <w:t xml:space="preserve"> "directional_score_signed": 15,</w:t>
        <w:br/>
        <w:t xml:space="preserve"> "bullish_pressure_score": 20,</w:t>
        <w:br/>
        <w:t xml:space="preserve"> "bearish_pressure_score": 5,</w:t>
        <w:br/>
        <w:t xml:space="preserve"> "net_sentiment_score": 15,</w:t>
        <w:br/>
        <w:t xml:space="preserve"> "velocity_score": 1,</w:t>
        <w:br/>
        <w:t xml:space="preserve"> "acceleration_score": -1,</w:t>
        <w:br/>
        <w:t xml:space="preserve"> "contradiction_ratio": 0.095,</w:t>
        <w:br/>
        <w:t xml:space="preserve"> "fresh_evidence_count": 0,</w:t>
        <w:br/>
        <w:t xml:space="preserve"> "stale_evidence_count": 5,</w:t>
        <w:br/>
        <w:t xml:space="preserve"> "conviction_score_0_100": 24,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"2026-03-11T19:30:00Z",</w:t>
        <w:br/>
        <w:t xml:space="preserve"> "bucket_end_utc": "2026-03-11T20:30:00Z",</w:t>
        <w:br/>
        <w:t xml:space="preserve"> "directional_score_signed": 18,</w:t>
        <w:br/>
        <w:t xml:space="preserve"> "bullish_pressure_score": 23,</w:t>
        <w:br/>
        <w:t xml:space="preserve"> "bearish_pressure_score": 5,</w:t>
        <w:br/>
        <w:t xml:space="preserve"> "net_sentiment_score": 18,</w:t>
        <w:br/>
        <w:t xml:space="preserve"> "velocity_score": 3,</w:t>
        <w:br/>
        <w:t xml:space="preserve"> "acceleration_score": 2,</w:t>
        <w:br/>
        <w:t xml:space="preserve"> "contradiction_ratio": 0.095,</w:t>
        <w:br/>
        <w:t xml:space="preserve"> "fresh_evidence_count": 1,</w:t>
        <w:br/>
        <w:t xml:space="preserve"> "stale_evidence_count": 5,</w:t>
        <w:br/>
        <w:t xml:space="preserve"> "conviction_score_0_100": 28,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"2026-03-11T20:30:00Z",</w:t>
        <w:br/>
        <w:t xml:space="preserve"> "bucket_end_utc": "2026-03-11T21:30:00Z",</w:t>
        <w:br/>
        <w:t xml:space="preserve"> "directional_score_signed": 20,</w:t>
        <w:br/>
        <w:t xml:space="preserve"> "bullish_pressure_score": 25,</w:t>
        <w:br/>
        <w:t xml:space="preserve"> "bearish_pressure_score": 5,</w:t>
        <w:br/>
        <w:t xml:space="preserve"> "net_sentiment_score": 20,</w:t>
        <w:br/>
        <w:t xml:space="preserve"> "velocity_score": 2,</w:t>
        <w:br/>
        <w:t xml:space="preserve"> "acceleration_score": -1,</w:t>
        <w:br/>
        <w:t xml:space="preserve"> "contradiction_ratio": 0.09,</w:t>
        <w:br/>
        <w:t xml:space="preserve"> "fresh_evidence_count": 0,</w:t>
        <w:br/>
        <w:t xml:space="preserve"> "stale_evidence_count": 5,</w:t>
        <w:br/>
        <w:t xml:space="preserve"> "conviction_score_0_100": 28,</w:t>
        <w:br/>
        <w:t xml:space="preserve"> "fragility_score_0_100": 76,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"2026-03-11T21:30:00Z",</w:t>
        <w:br/>
        <w:t xml:space="preserve"> "bucket_end_utc": "2026-03-11T22:30:00Z",</w:t>
        <w:br/>
        <w:t xml:space="preserve"> "directional_score_signed": 21,</w:t>
        <w:br/>
        <w:t xml:space="preserve"> "bullish_pressure_score": 26,</w:t>
        <w:br/>
        <w:t xml:space="preserve"> "bearish_pressure_score": 5,</w:t>
        <w:br/>
        <w:t xml:space="preserve"> "net_sentiment_score": 21,</w:t>
        <w:br/>
        <w:t xml:space="preserve"> "velocity_score": 1,</w:t>
        <w:br/>
        <w:t xml:space="preserve"> "acceleration_score": -1,</w:t>
        <w:br/>
        <w:t xml:space="preserve"> "contradiction_ratio": 0.09,</w:t>
        <w:br/>
        <w:t xml:space="preserve"> "fresh_evidence_count": 0,</w:t>
        <w:br/>
        <w:t xml:space="preserve"> "stale_evidence_count": 5,</w:t>
        <w:br/>
        <w:t xml:space="preserve"> "conviction_score_0_100": 29,</w:t>
        <w:br/>
        <w:t xml:space="preserve"> "fragility_score_0_100": 76,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"2026-03-11T22:30:00Z",</w:t>
        <w:br/>
        <w:t xml:space="preserve"> "bucket_end_utc": "2026-03-11T23:30:00Z",</w:t>
        <w:br/>
        <w:t xml:space="preserve"> "directional_score_signed": 22,</w:t>
        <w:br/>
        <w:t xml:space="preserve"> "bullish_pressure_score": 27,</w:t>
        <w:br/>
        <w:t xml:space="preserve"> "bearish_pressure_score": 5,</w:t>
        <w:br/>
        <w:t xml:space="preserve"> "net_sentiment_score": 22,</w:t>
        <w:br/>
        <w:t xml:space="preserve"> "velocity_score": 1,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5,</w:t>
        <w:br/>
        <w:t xml:space="preserve"> "conviction_score_0_100": 30,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"2026-03-11T23:30:00Z",</w:t>
        <w:br/>
        <w:t xml:space="preserve"> "bucket_end_utc": "2026-03-12T00:30:00Z",</w:t>
        <w:br/>
        <w:t xml:space="preserve"> "directional_score_signed": 24,</w:t>
        <w:br/>
        <w:t xml:space="preserve"> "bullish_pressure_score": 29,</w:t>
        <w:br/>
        <w:t xml:space="preserve"> "bearish_pressure_score": 5,</w:t>
        <w:br/>
        <w:t xml:space="preserve"> "net_sentiment_score": 24,</w:t>
        <w:br/>
        <w:t xml:space="preserve"> "velocity_score": 2,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5,</w:t>
        <w:br/>
        <w:t xml:space="preserve"> "conviction_score_0_100": 32,</w:t>
        <w:br/>
        <w:t xml:space="preserve"> "fragility_score_0_100": 75,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"2026-03-12T00:30:00Z",</w:t>
        <w:br/>
        <w:t xml:space="preserve"> "bucket_end_utc": "2026-03-12T01:30:00Z",</w:t>
        <w:br/>
        <w:t xml:space="preserve"> "directional_score_signed": 25,</w:t>
        <w:br/>
        <w:t xml:space="preserve"> "bullish_pressure_score": 30,</w:t>
        <w:br/>
        <w:t xml:space="preserve"> "bearish_pressure_score": 5,</w:t>
        <w:br/>
        <w:t xml:space="preserve"> "net_sentiment_score": 25,</w:t>
        <w:br/>
        <w:t xml:space="preserve"> "velocity_score": 1,</w:t>
        <w:br/>
        <w:t xml:space="preserve"> "acceleration_score": -1,</w:t>
        <w:br/>
        <w:t xml:space="preserve"> "contradiction_ratio": 0.088,</w:t>
        <w:br/>
        <w:t xml:space="preserve"> "fresh_evidence_count": 0,</w:t>
        <w:br/>
        <w:t xml:space="preserve"> "stale_evidence_count": 5,</w:t>
        <w:br/>
        <w:t xml:space="preserve"> "conviction_score_0_100": 33,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"2026-03-12T01:30:00Z",</w:t>
        <w:br/>
        <w:t xml:space="preserve"> "bucket_end_utc": "2026-03-12T02:30:00Z",</w:t>
        <w:br/>
        <w:t xml:space="preserve"> "directional_score_signed": 25,</w:t>
        <w:br/>
        <w:t xml:space="preserve"> "bullish_pressure_score": 30,</w:t>
        <w:br/>
        <w:t xml:space="preserve"> "bearish_pressure_score": 5,</w:t>
        <w:br/>
        <w:t xml:space="preserve"> "net_sentiment_score": 25,</w:t>
        <w:br/>
        <w:t xml:space="preserve"> "velocity_score": 0,</w:t>
        <w:br/>
        <w:t xml:space="preserve"> "acceleration_score": -1,</w:t>
        <w:br/>
        <w:t xml:space="preserve"> "contradiction_ratio": 0.088,</w:t>
        <w:br/>
        <w:t xml:space="preserve"> "fresh_evidence_count": 0,</w:t>
        <w:br/>
        <w:t xml:space="preserve"> "stale_evidence_count": 5,</w:t>
        <w:br/>
        <w:t xml:space="preserve"> "conviction_score_0_100": 33,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"2026-03-12T02:30:00Z",</w:t>
        <w:br/>
        <w:t xml:space="preserve"> "bucket_end_utc": "2026-03-12T03:30:00Z",</w:t>
        <w:br/>
        <w:t xml:space="preserve"> "directional_score_signed": 26,</w:t>
        <w:br/>
        <w:t xml:space="preserve"> "bullish_pressure_score": 31,</w:t>
        <w:br/>
        <w:t xml:space="preserve"> "bearish_pressure_score": 5,</w:t>
        <w:br/>
        <w:t xml:space="preserve"> "net_sentiment_score": 26,</w:t>
        <w:br/>
        <w:t xml:space="preserve"> "velocity_score": 1,</w:t>
        <w:br/>
        <w:t xml:space="preserve"> "acceleration_score": 1,</w:t>
        <w:br/>
        <w:t xml:space="preserve"> "contradiction_ratio": 0.087,</w:t>
        <w:br/>
        <w:t xml:space="preserve"> "fresh_evidence_count": 0,</w:t>
        <w:br/>
        <w:t xml:space="preserve"> "stale_evidence_count": 5,</w:t>
        <w:br/>
        <w:t xml:space="preserve"> "conviction_score_0_100": 34,</w:t>
        <w:br/>
        <w:t xml:space="preserve"> "fragility_score_0_100": 74,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"2026-03-12T03:30:00Z",</w:t>
        <w:br/>
        <w:t xml:space="preserve"> "bucket_end_utc": "2026-03-12T04:30:00Z",</w:t>
        <w:br/>
        <w:t xml:space="preserve"> "directional_score_signed": 28,</w:t>
        <w:br/>
        <w:t xml:space="preserve"> "bullish_pressure_score": 33,</w:t>
        <w:br/>
        <w:t xml:space="preserve"> "bearish_pressure_score": 5,</w:t>
        <w:br/>
        <w:t xml:space="preserve"> "net_sentiment_score": 28,</w:t>
        <w:br/>
        <w:t xml:space="preserve"> "velocity_score": 2,</w:t>
        <w:br/>
        <w:t xml:space="preserve"> "acceleration_score": 1,</w:t>
        <w:br/>
        <w:t xml:space="preserve"> "contradiction_ratio": 0.085,</w:t>
        <w:br/>
        <w:t xml:space="preserve"> "fresh_evidence_count": 1,</w:t>
        <w:br/>
        <w:t xml:space="preserve"> "stale_evidence_count": 5,</w:t>
        <w:br/>
        <w:t xml:space="preserve"> "conviction_score_0_100": 38,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"2026-03-12T04:30:00Z",</w:t>
        <w:br/>
        <w:t xml:space="preserve"> "bucket_end_utc": "2026-03-12T05:30:00Z",</w:t>
        <w:br/>
        <w:t xml:space="preserve"> "directional_score_signed": 29,</w:t>
        <w:br/>
        <w:t xml:space="preserve"> "bullish_pressure_score": 34,</w:t>
        <w:br/>
        <w:t xml:space="preserve"> "bearish_pressure_score": 5,</w:t>
        <w:br/>
        <w:t xml:space="preserve"> "net_sentiment_score": 29,</w:t>
        <w:br/>
        <w:t xml:space="preserve"> "velocity_score": 1,</w:t>
        <w:br/>
        <w:t xml:space="preserve"> "acceleration_score": -1,</w:t>
        <w:br/>
        <w:t xml:space="preserve"> "contradiction_ratio": 0.085,</w:t>
        <w:br/>
        <w:t xml:space="preserve"> "fresh_evidence_count": 0,</w:t>
        <w:br/>
        <w:t xml:space="preserve"> "stale_evidence_count": 5,</w:t>
        <w:br/>
        <w:t xml:space="preserve"> "conviction_score_0_100": 36,</w:t>
        <w:br/>
        <w:t xml:space="preserve"> "fragility_score_0_100": 73,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"2026-03-12T05:30:00Z",</w:t>
        <w:br/>
        <w:t xml:space="preserve"> "bucket_end_utc": "2026-03-12T06:30:00Z",</w:t>
        <w:br/>
        <w:t xml:space="preserve"> "directional_score_signed": 31,</w:t>
        <w:br/>
        <w:t xml:space="preserve"> "bullish_pressure_score": 36,</w:t>
        <w:br/>
        <w:t xml:space="preserve"> "bearish_pressure_score": 5,</w:t>
        <w:br/>
        <w:t xml:space="preserve"> "net_sentiment_score": 31,</w:t>
        <w:br/>
        <w:t xml:space="preserve"> "velocity_score": 2,</w:t>
        <w:br/>
        <w:t xml:space="preserve"> "acceleration_score": 1,</w:t>
        <w:br/>
        <w:t xml:space="preserve"> "contradiction_ratio": 0.083,</w:t>
        <w:br/>
        <w:t xml:space="preserve"> "fresh_evidence_count": 0,</w:t>
        <w:br/>
        <w:t xml:space="preserve"> "stale_evidence_count": 5,</w:t>
        <w:br/>
        <w:t xml:space="preserve"> "conviction_score_0_100": 38,</w:t>
        <w:br/>
        <w:t xml:space="preserve"> "fragility_score_0_100": 72,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"2026-03-12T06:30:00Z",</w:t>
        <w:br/>
        <w:t xml:space="preserve"> "bucket_end_utc": "2026-03-12T07:30:00Z",</w:t>
        <w:br/>
        <w:t xml:space="preserve"> "directional_score_signed": 32,</w:t>
        <w:br/>
        <w:t xml:space="preserve"> "bullish_pressure_score": 37,</w:t>
        <w:br/>
        <w:t xml:space="preserve"> "bearish_pressure_score": 5,</w:t>
        <w:br/>
        <w:t xml:space="preserve"> "net_sentiment_score": 32,</w:t>
        <w:br/>
        <w:t xml:space="preserve"> "velocity_score": 1,</w:t>
        <w:br/>
        <w:t xml:space="preserve"> "acceleration_score": -1,</w:t>
        <w:br/>
        <w:t xml:space="preserve"> "contradiction_ratio": 0.083,</w:t>
        <w:br/>
        <w:t xml:space="preserve"> "fresh_evidence_count": 0,</w:t>
        <w:br/>
        <w:t xml:space="preserve"> "stale_evidence_count": 5,</w:t>
        <w:br/>
        <w:t xml:space="preserve"> "conviction_score_0_100": 39,</w:t>
        <w:br/>
        <w:t xml:space="preserve"> "fragility_score_0_100": 72,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"2026-03-12T07:30:00Z",</w:t>
        <w:br/>
        <w:t xml:space="preserve"> "bucket_end_utc": "2026-03-12T08:30:00Z",</w:t>
        <w:br/>
        <w:t xml:space="preserve"> "directional_score_signed": 34,</w:t>
        <w:br/>
        <w:t xml:space="preserve"> "bullish_pressure_score": 39,</w:t>
        <w:br/>
        <w:t xml:space="preserve"> "bearish_pressure_score": 5,</w:t>
        <w:br/>
        <w:t xml:space="preserve"> "net_sentiment_score": 34,</w:t>
        <w:br/>
        <w:t xml:space="preserve"> "velocity_score": 2,</w:t>
        <w:br/>
        <w:t xml:space="preserve"> "acceleration_score": 1,</w:t>
        <w:br/>
        <w:t xml:space="preserve"> "contradiction_ratio": 0.082,</w:t>
        <w:br/>
        <w:t xml:space="preserve"> "fresh_evidence_count": 0,</w:t>
        <w:br/>
        <w:t xml:space="preserve"> "stale_evidence_count": 5,</w:t>
        <w:br/>
        <w:t xml:space="preserve"> "conviction_score_0_100": 41,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"2026-03-12T08:30:00Z",</w:t>
        <w:br/>
        <w:t xml:space="preserve"> "bucket_end_utc": "2026-03-12T09:30:00Z",</w:t>
        <w:br/>
        <w:t xml:space="preserve"> "directional_score_signed": 36,</w:t>
        <w:br/>
        <w:t xml:space="preserve"> "bullish_pressure_score": 41,</w:t>
        <w:br/>
        <w:t xml:space="preserve"> "bearish_pressure_score": 5,</w:t>
        <w:br/>
        <w:t xml:space="preserve"> "net_sentiment_score": 36,</w:t>
        <w:br/>
        <w:t xml:space="preserve"> "velocity_score": 2,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5,</w:t>
        <w:br/>
        <w:t xml:space="preserve"> "conviction_score_0_100": 42,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"2026-03-12T09:30:00Z",</w:t>
        <w:br/>
        <w:t xml:space="preserve"> "bucket_end_utc": "2026-03-12T10:30:00Z",</w:t>
        <w:br/>
        <w:t xml:space="preserve"> "directional_score_signed": 40,</w:t>
        <w:br/>
        <w:t xml:space="preserve"> "bullish_pressure_score": 45,</w:t>
        <w:br/>
        <w:t xml:space="preserve"> "bearish_pressure_score": 5,</w:t>
        <w:br/>
        <w:t xml:space="preserve"> "net_sentiment_score": 40,</w:t>
        <w:br/>
        <w:t xml:space="preserve"> "velocity_score": 4,</w:t>
        <w:br/>
        <w:t xml:space="preserve"> "acceleration_score": 2,</w:t>
        <w:br/>
        <w:t xml:space="preserve"> "contradiction_ratio": 0.078,</w:t>
        <w:br/>
        <w:t xml:space="preserve"> "fresh_evidence_count": 1,</w:t>
        <w:br/>
        <w:t xml:space="preserve"> "stale_evidence_count": 5,</w:t>
        <w:br/>
        <w:t xml:space="preserve"> "conviction_score_0_100": 48,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"2026-03-12T10:30:00Z",</w:t>
        <w:br/>
        <w:t xml:space="preserve"> "bucket_end_utc": "2026-03-12T11:30:00Z",</w:t>
        <w:br/>
        <w:t xml:space="preserve"> "directional_score_signed": 41,</w:t>
        <w:br/>
        <w:t xml:space="preserve"> "bullish_pressure_score": 46,</w:t>
        <w:br/>
        <w:t xml:space="preserve"> "bearish_pressure_score": 5,</w:t>
        <w:br/>
        <w:t xml:space="preserve"> "net_sentiment_score": 41,</w:t>
        <w:br/>
        <w:t xml:space="preserve"> "velocity_score": 1,</w:t>
        <w:br/>
        <w:t xml:space="preserve"> "acceleration_score": -3,</w:t>
        <w:br/>
        <w:t xml:space="preserve"> "contradiction_ratio": 0.078,</w:t>
        <w:br/>
        <w:t xml:space="preserve"> "fresh_evidence_count": 0,</w:t>
        <w:br/>
        <w:t xml:space="preserve"> "stale_evidence_count": 5,</w:t>
        <w:br/>
        <w:t xml:space="preserve"> "conviction_score_0_100": 47,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"2026-03-12T11:30:00Z",</w:t>
        <w:br/>
        <w:t xml:space="preserve"> "bucket_end_utc": "2026-03-12T12:30:00Z",</w:t>
        <w:br/>
        <w:t xml:space="preserve"> "directional_score_signed": 43,</w:t>
        <w:br/>
        <w:t xml:space="preserve"> "bullish_pressure_score": 48,</w:t>
        <w:br/>
        <w:t xml:space="preserve"> "bearish_pressure_score": 5,</w:t>
        <w:br/>
        <w:t xml:space="preserve"> "net_sentiment_score": 43,</w:t>
        <w:br/>
        <w:t xml:space="preserve"> "velocity_score": 2,</w:t>
        <w:br/>
        <w:t xml:space="preserve"> "acceleration_score": 1,</w:t>
        <w:br/>
        <w:t xml:space="preserve"> "contradiction_ratio": 0.076,</w:t>
        <w:br/>
        <w:t xml:space="preserve"> "fresh_evidence_count": 0,</w:t>
        <w:br/>
        <w:t xml:space="preserve"> "stale_evidence_count": 5,</w:t>
        <w:br/>
        <w:t xml:space="preserve"> "conviction_score_0_100": 49,</w:t>
        <w:br/>
        <w:t xml:space="preserve"> "fragility_score_0_100": 69,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"2026-03-12T12:30:00Z",</w:t>
        <w:br/>
        <w:t xml:space="preserve"> "bucket_end_utc": "2026-03-12T13:30:00Z",</w:t>
        <w:br/>
        <w:t xml:space="preserve"> "directional_score_signed": 45,</w:t>
        <w:br/>
        <w:t xml:space="preserve"> "bullish_pressure_score": 50,</w:t>
        <w:br/>
        <w:t xml:space="preserve"> "bearish_pressure_score": 5,</w:t>
        <w:br/>
        <w:t xml:space="preserve"> "net_sentiment_score": 45,</w:t>
        <w:br/>
        <w:t xml:space="preserve"> "velocity_score": 2,</w:t>
        <w:br/>
        <w:t xml:space="preserve"> "acceleration_score": 0,</w:t>
        <w:br/>
        <w:t xml:space="preserve"> "contradiction_ratio": 0.075,</w:t>
        <w:br/>
        <w:t xml:space="preserve"> "fresh_evidence_count": 0,</w:t>
        <w:br/>
        <w:t xml:space="preserve"> "stale_evidence_count": 5,</w:t>
        <w:br/>
        <w:t xml:space="preserve"> "conviction_score_0_100": 51,</w:t>
        <w:br/>
        <w:t xml:space="preserve"> "fragility_score_0_100": 69,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"2026-03-12T13:30:00Z",</w:t>
        <w:br/>
        <w:t xml:space="preserve"> "bucket_end_utc": "2026-03-12T14:30:00Z",</w:t>
        <w:br/>
        <w:t xml:space="preserve"> "directional_score_signed": 49,</w:t>
        <w:br/>
        <w:t xml:space="preserve"> "bullish_pressure_score": 54,</w:t>
        <w:br/>
        <w:t xml:space="preserve"> "bearish_pressure_score": 5,</w:t>
        <w:br/>
        <w:t xml:space="preserve"> "net_sentiment_score": 49,</w:t>
        <w:br/>
        <w:t xml:space="preserve"> "velocity_score": 4,</w:t>
        <w:br/>
        <w:t xml:space="preserve"> "acceleration_score": 2,</w:t>
        <w:br/>
        <w:t xml:space="preserve"> "contradiction_ratio": 0.073,</w:t>
        <w:br/>
        <w:t xml:space="preserve"> "fresh_evidence_count": 2,</w:t>
        <w:br/>
        <w:t xml:space="preserve"> "stale_evidence_count": 5,</w:t>
        <w:br/>
        <w:t xml:space="preserve"> "conviction_score_0_100": 58,</w:t>
        <w:br/>
        <w:t xml:space="preserve"> "fragility_score_0_100": 68,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"2026-03-12T14:30:00Z",</w:t>
        <w:br/>
        <w:t xml:space="preserve"> "bucket_end_utc": "2026-03-12T15:30:00Z",</w:t>
        <w:br/>
        <w:t xml:space="preserve"> "directional_score_signed": 56,</w:t>
        <w:br/>
        <w:t xml:space="preserve"> "bullish_pressure_score": 61,</w:t>
        <w:br/>
        <w:t xml:space="preserve"> "bearish_pressure_score": 5,</w:t>
        <w:br/>
        <w:t xml:space="preserve"> "net_sentiment_score": 56,</w:t>
        <w:br/>
        <w:t xml:space="preserve"> "velocity_score": 7,</w:t>
        <w:br/>
        <w:t xml:space="preserve"> "acceleration_score": 3,</w:t>
        <w:br/>
        <w:t xml:space="preserve"> "contradiction_ratio": 0.07,</w:t>
        <w:br/>
        <w:t xml:space="preserve"> "fresh_evidence_count": 6,</w:t>
        <w:br/>
        <w:t xml:space="preserve"> "stale_evidence_count": 5,</w:t>
        <w:br/>
        <w:t xml:space="preserve"> "conviction_score_0_100": 74,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"2026-03-12T15:30:00Z",</w:t>
        <w:br/>
        <w:t xml:space="preserve"> "bucket_end_utc": "2026-03-12T16:30:00Z",</w:t>
        <w:br/>
        <w:t xml:space="preserve"> "directional_score_signed": 58,</w:t>
        <w:br/>
        <w:t xml:space="preserve"> "bullish_pressure_score": 63,</w:t>
        <w:br/>
        <w:t xml:space="preserve"> "bearish_pressure_score": 5,</w:t>
        <w:br/>
        <w:t xml:space="preserve"> "net_sentiment_score": 58,</w:t>
        <w:br/>
        <w:t xml:space="preserve"> "velocity_score": 2,</w:t>
        <w:br/>
        <w:t xml:space="preserve"> "acceleration_score": -5,</w:t>
        <w:br/>
        <w:t xml:space="preserve"> "contradiction_ratio": 0.07,</w:t>
        <w:br/>
        <w:t xml:space="preserve"> "fresh_evidence_count": 1,</w:t>
        <w:br/>
        <w:t xml:space="preserve"> "stale_evidence_count": 5,</w:t>
        <w:br/>
        <w:t xml:space="preserve"> "conviction_score_0_100": 64,</w:t>
        <w:br/>
        <w:t xml:space="preserve"> "fragility_score_0_100": 68,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58,</w:t>
        <w:br/>
        <w:t xml:space="preserve"> "timeseries_peak_bearish": 0,</w:t>
        <w:br/>
        <w:t xml:space="preserve"> "latest_inflection_direction": "up",</w:t>
        <w:br/>
        <w:t xml:space="preserve"> "latest_inflection_strength": 7,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explicit 5A per-signal physics fields were provided in-message; recency/velocity were approximated from available timestamps (trend/vip timestamps_found and evidence newest-timestamp proxies).",</w:t>
        <w:br/>
        <w:t xml:space="preserve"> "Contradictions array was empty in the provided 5B payload; contradiction_ratio is therefore treated as low-to-moderate and primarily reflects authority-mix/echo-risk rather than explicit opposing signals.",</w:t>
        <w:br/>
        <w:t xml:space="preserve"> "No prior market_state_table or trend_state_memory was supplied; state_change computed against an unknown prior (treated as neutral baseline)."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 critical minerals across Latin America since January 2025. * Investments focus on lithium, copper, and rare earths to enhance energy, defence, and advanced technology supply chains. * Latin America holds about 60% of the world's lithium reserves, with Brazil and Argentina seen as key development centres. * Countries balance geopolitical interests between Washington and Beijing, with China dominant in mineral processing. * Copper projects in Chile and Argentina are central to regional mining strategies due to rising demand. 2. </w:t>
      </w:r>
      <w:hyperlink r:id="rId10">
        <w:r>
          <w:rPr>
            <w:color w:val="0000EE"/>
            <w:u w:val="single"/>
          </w:rPr>
          <w:t>https://wyomingtruth.org/trump-administration-kicks-off-new-process-to-try-to-replace-tariffs-struck-down-by-supreme-court/</w:t>
        </w:r>
      </w:hyperlink>
      <w:r>
        <w:t xml:space="preserve"> - * The Trump administration began a new trade investigation under Section 301 on Wednesday. * The investigation aims to replace tariffs struck down by the Supreme Court, seeking to protect American jobs. * The process involves examining foreign entities including China, the EU, and several Asian countries. * The investigation could lead to new import taxes and explore issues like excess industrial capacity, subsidies, and forced labour. * The investigation timeline is urgent due to tariffs expiring on July 24, with potential implications for global trade frameworks. 3. </w:t>
      </w:r>
      <w:hyperlink r:id="rId11">
        <w:r>
          <w:rPr>
            <w:color w:val="0000EE"/>
            <w:u w:val="single"/>
          </w:rPr>
          <w:t>https://www.agweek.com/news/policy/us-launches-unfair-trade-probes-to-rebuild-trumps-tariff-pressure</w:t>
        </w:r>
      </w:hyperlink>
      <w:r>
        <w:t xml:space="preserve"> - * The US announced two trade investigations into excess industrial capacity and forced labour, affecting multiple countries. * The capacity probe targets 16 trading partners including China, EU, India, Japan, South Korea, and Mexico. * The forced labour probe covers goods from over 60 countries, including China. * The investigations aim to restore tariffs and address trade surplus concerns, after recent legal challenges to Trump's tariffs. * US seeks to enforce bans on goods produced with forced labour, referencing existing laws and recent measures against China's Xinjiang region. 4. </w:t>
      </w:r>
      <w:hyperlink r:id="rId12">
        <w:r>
          <w:rPr>
            <w:color w:val="0000EE"/>
            <w:u w:val="single"/>
          </w:rPr>
          <w:t>https://www.openpr.com/news/4421772/asia-pacific-copper-wire-rod-market-to-reach-28-8-million-tons</w:t>
        </w:r>
      </w:hyperlink>
      <w:r>
        <w:t xml:space="preserve"> - * Asia Pacific copper wire rod market was 18.6 million tons in 2025 and is expected to reach 28.8 million tons by 2033, growing at 5.7% CAGR. * Market growth driven by investments in power infrastructure, urban expansion, and electrification. * Increased demand from electronics, manufacturing, renewable energy, and electric mobility sectors. * The region's infrastructure development and industrial expansion underpin long-term demand. * Short-term challenges include copper price fluctuations, but long-term fundamentals remain strong. 5. </w:t>
      </w:r>
      <w:hyperlink r:id="rId9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into critical minerals projects across Latin America since January 2025. * Focus areas include lithium, copper, and rare earths, driven by energy, defence, and advanced technology needs. * Latin America holds about 60% of the world's lithium reserves, with Brazil and Argentina as key investment targets. * Governments in the region aim to develop domestic processing and attract foreign investment amidst geopolitical balancing. * Copper projects in Chile and Argentina are set to expand, supporting regional electrification and infrastructure.</w:t>
      </w:r>
      <w:r/>
    </w:p>
    <w:p>
      <w:r/>
      <w:r>
        <w:t xml:space="preserve">6. </w:t>
      </w:r>
      <w:hyperlink r:id="rId13">
        <w:r>
          <w:rPr>
            <w:color w:val="0000EE"/>
            <w:u w:val="single"/>
          </w:rPr>
          <w:t>https://solarquarter.com/2026/03/12/chris-minns-launches-construction-of-the-blind-creek-solar-farm-and-battery-project-in-bungendore-marking-a-major-step-in-australias-clean-energy-transition/</w:t>
        </w:r>
      </w:hyperlink>
      <w:r>
        <w:t xml:space="preserve"> - * New South Wales Premier Chris Minns officially launched construction on the project in Bungendore, Australia. * The development is a clean energy investment worth 900 million dollars, including a 300 MW solar farm and 243 MW / 486 MWh battery system. * Wärtsilä Energy Storage will supply the battery system for the project. * The project aims to replace fossil generation, address solar variability, and demonstrate a model for other regions. * Construction begins this year with full operation expected by 2028. * The project includes integration with local agricultural activity, specifically sheep grazing, to enhance community acceptance. 7. </w:t>
      </w:r>
      <w:hyperlink r:id="rId14">
        <w:r>
          <w:rPr>
            <w:color w:val="0000EE"/>
            <w:u w:val="single"/>
          </w:rPr>
          <w:t>https://www.ad-hoc-news.de/boerse/news/ueberblick/labor-unrest-threatens-glencore-s-australian-copper-operations/68661303</w:t>
        </w:r>
      </w:hyperlink>
      <w:r>
        <w:t xml:space="preserve"> - * Glencore faces a potential strike at its Townsville copper refinery in Australia, possibly starting on Friday. * The dispute involves the Australian Workers' Union over wages, lasting nearly a year. * The refinery produces up to 300,000 tonnes of copper cathode annually. * Despite operational risks, Glencore's financials remain solid, with a 6% decline in adjusted EBITDA for 2025. * Glencore plans to expand copper production to over one million tonnes by 2028, dependent on resolving current labour issues. 8. </w:t>
      </w:r>
      <w:hyperlink r:id="rId15">
        <w:r>
          <w:rPr>
            <w:color w:val="0000EE"/>
            <w:u w:val="single"/>
          </w:rPr>
          <w:t>https://www.benzinga.com/news/politics/26/03/51204498/trump-launches-trade-probe-on-16-partners-including-china-india-eu</w:t>
        </w:r>
      </w:hyperlink>
      <w:r>
        <w:t xml:space="preserve"> - * The Trump administration launched a trade investigation targeting 16 countries, including China, India, and the EU. * The probe aims to assess unfair trade practices under Section 301(b) of the Trade Act of 1974. * The investigation examines acts related to excess capacity and production affecting US commerce. * The US may propose tariffs or other measures based on findings. * Concurrently, 24 states sued over the legality of a 10% trade tariff, with projected revenue shortfalls over a decade. 9. </w:t>
      </w:r>
      <w:hyperlink r:id="rId16">
        <w:r>
          <w:rPr>
            <w:color w:val="0000EE"/>
            <w:u w:val="single"/>
          </w:rPr>
          <w:t>https://www.trtworld.com/article/af4388a7e5a6</w:t>
        </w:r>
      </w:hyperlink>
      <w:r>
        <w:t xml:space="preserve"> - * The US government announced new trade probes into excess industrial capacity in 16 countries and forced labour across over 60 countries. * The excess capacity investigation targets China, EU, India, Japan, South Korea, and Mexico, among others. * The forced labour probe aims to ban imports from goods produced with forced labour, expanding existing restrictions on China's Xinjiang region. * These measures follow the US Supreme Court's rejection of much of Trump's tariff programme. * The investigations could lead to new tariffs and trade restrictions against major trade partners. 10. </w:t>
      </w:r>
      <w:hyperlink r:id="rId17">
        <w:r>
          <w:rPr>
            <w:color w:val="0000EE"/>
            <w:u w:val="single"/>
          </w:rPr>
          <w:t>https://www.capitalstreetfx.com/copper-trade-idea-march-11-2026-hg-futures-technical-analysis-trade-setup-fundamental-outlook/</w:t>
        </w:r>
      </w:hyperlink>
      <w:r>
        <w:t xml:space="preserve"> - * Copper's role as an economic indicator highlighted by its association with global growth signals. * Three large copper mines experienced disruptions in 2025, affecting outputs into 2026. * Disruptions include a mudslide at Freeport-McMoRan’s Grasberg mine, flooding at Kamoa-Kakula, and a tunnel collapse at El Teniente. * Wood Mackenzie estimates above-normal mine disruptions, with significant impacts expected until 2027 and for several years afterward. * ING forecasts a 600kt refined copper deficit in 2026, with projections of high deficits and demand supply gap by 2040. 11. </w:t>
      </w:r>
      <w:hyperlink r:id="rId18">
        <w:r>
          <w:rPr>
            <w:color w:val="0000EE"/>
            <w:u w:val="single"/>
          </w:rPr>
          <w:t>https://www.fxstreet.com/news/copper-scarcity-and-cta-buying-skew-td-securities-202603111340</w:t>
        </w:r>
      </w:hyperlink>
      <w:r>
        <w:t xml:space="preserve"> - * TD Securities' Daniel Ghali reports unencumbered copper inventories have decreased sharply year-to-date, now at 9.1 days of available supply. * Despite warehouse builds and risk-off sentiment, copper scarcity is described as unprecedented. * The report suggests a reshuffling from invisible stockpiles into visible warehouses, locking up more metal. * TD Securities predicts CTAs will likely increase longs in copper for the upcoming week. * The article discusses market dynamics affecting copper supply and investor behaviour amidst geopolitical uncertainty. 12. </w:t>
      </w:r>
      <w:hyperlink r:id="rId19">
        <w:r>
          <w:rPr>
            <w:color w:val="0000EE"/>
            <w:u w:val="single"/>
          </w:rPr>
          <w:t>https://www.cnbc.com/2026/03/11/trump-trade-investigations-ieepa-tariffs.html</w:t>
        </w:r>
      </w:hyperlink>
      <w:r>
        <w:t xml:space="preserve"> - * The Trump administration announced new trade investigations under Section 301 of the Trade Act of 1974. * The probes target China, Mexico, the EU, and other economies, with potential expansion. * The investigation aims to address unfair trade practices related to excess capacity and production in manufacturing sectors. * Countries being investigated include Japan, India, Taiwan, Vietnam, South Korea, Singapore, Switzerland, Norway, Indonesia, Malaysia, Cambodia, Bangladesh, and Thailand. * Findings may lead to tariffs or other responsive trade actions. 13. </w:t>
      </w:r>
      <w:hyperlink r:id="rId20">
        <w:r>
          <w:rPr>
            <w:color w:val="0000EE"/>
            <w:u w:val="single"/>
          </w:rPr>
          <w:t>https://investinglive.com/news/us-launches-section-301-tariff-probe-targeting-china-eu-mexico-japan-and-others-20260311/</w:t>
        </w:r>
      </w:hyperlink>
      <w:r>
        <w:t xml:space="preserve"> - * The US has initiated a Section 301 investigation into excess manufacturing capacity across 16 trading partners, including China, the EU, Japan, Mexico, Vietnam, and Taiwan. * The probe aims to assess whether state-backed overproduction is distorting markets and harming US industry. * The investigation may lead to new tariffs or trade measures if unfair practices are confirmed. * A second probe into goods linked to forced labour, covering around 60 countries, could be launched soon. * The move signals a potential expansion of US tariffs and global trade tensions.</w:t>
      </w:r>
      <w:r/>
    </w:p>
    <w:p>
      <w:r/>
      <w:r>
        <w:t xml:space="preserve">14. </w:t>
      </w:r>
      <w:hyperlink r:id="rId21">
        <w:r>
          <w:rPr>
            <w:color w:val="0000EE"/>
            <w:u w:val="single"/>
          </w:rPr>
          <w:t>https://www.mirusfinancialpartners.com/blog/keeping-track-new-energy-economy</w:t>
        </w:r>
      </w:hyperlink>
      <w:r>
        <w:t xml:space="preserve"> - * The global energy system is undergoing a major economic transformation towards renewables, energy storage, electric vehicles, and hydrogen. * In 2024, renewable capacity increased by 700 GW, with over 40% of electricity produced from renewable sources. * Solar power added 553 GW in 2024, accounting for about 7% of global electricity, with future estimates exceeding 43% by 2030. * The lithium-ion battery market surpassed $150 billion in 2025, with demand reaching 1 TWh in 2024 and prices falling to around $70/kWh in 2025. * Electric vehicle sales grew by 35% in Q1 2025, representing 22% of global new car sales in 2024, with battery capacity over 933 GWh in 2025. * Hydrogen, produced via electrolysis, is emerging as a key fuel for hard-to-decarbonise sectors, with significant investments from governments and companies. * The energy transition presents long-term investment opportunities across multiple industry sectors. 15. </w:t>
      </w:r>
      <w:hyperlink r:id="rId22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16. </w:t>
      </w:r>
      <w:hyperlink r:id="rId23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17. </w:t>
      </w:r>
      <w:hyperlink r:id="rId22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18. </w:t>
      </w:r>
      <w:hyperlink r:id="rId24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19. </w:t>
      </w:r>
      <w:hyperlink r:id="rId25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20. </w:t>
      </w:r>
      <w:hyperlink r:id="rId23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21. </w:t>
      </w:r>
      <w:hyperlink r:id="rId26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22. </w:t>
      </w:r>
      <w:hyperlink r:id="rId27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23. </w:t>
      </w:r>
      <w:hyperlink r:id="rId28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24. </w:t>
      </w:r>
      <w:hyperlink r:id="rId29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25. </w:t>
      </w:r>
      <w:hyperlink r:id="rId30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26. </w:t>
      </w:r>
      <w:hyperlink r:id="rId31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27. </w:t>
      </w:r>
      <w:hyperlink r:id="rId32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28. </w:t>
      </w:r>
      <w:hyperlink r:id="rId31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29. </w:t>
      </w:r>
      <w:hyperlink r:id="rId33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30. </w:t>
      </w:r>
      <w:hyperlink r:id="rId34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31. </w:t>
      </w:r>
      <w:hyperlink r:id="rId34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32. </w:t>
      </w:r>
      <w:hyperlink r:id="rId32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33. </w:t>
      </w:r>
      <w:hyperlink r:id="rId31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34. </w:t>
      </w:r>
      <w:hyperlink r:id="rId35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35. </w:t>
      </w:r>
      <w:hyperlink r:id="rId36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36. </w:t>
      </w:r>
      <w:hyperlink r:id="rId37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37. </w:t>
      </w:r>
      <w:hyperlink r:id="rId38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38. </w:t>
      </w:r>
      <w:hyperlink r:id="rId39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39. </w:t>
      </w:r>
      <w:hyperlink r:id="rId40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40. </w:t>
      </w:r>
      <w:hyperlink r:id="rId41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41. </w:t>
      </w:r>
      <w:hyperlink r:id="rId42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42. </w:t>
      </w:r>
      <w:hyperlink r:id="rId43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43. </w:t>
      </w:r>
      <w:hyperlink r:id="rId44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44. </w:t>
      </w:r>
      <w:hyperlink r:id="rId45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45. </w:t>
      </w:r>
      <w:hyperlink r:id="rId46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46. </w:t>
      </w:r>
      <w:hyperlink r:id="rId47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47. </w:t>
      </w:r>
      <w:hyperlink r:id="rId48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48. </w:t>
      </w:r>
      <w:hyperlink r:id="rId49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49. </w:t>
      </w:r>
      <w:hyperlink r:id="rId50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50. </w:t>
      </w:r>
      <w:hyperlink r:id="rId51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51. </w:t>
      </w:r>
      <w:hyperlink r:id="rId52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52. </w:t>
      </w:r>
      <w:hyperlink r:id="rId53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53. </w:t>
      </w:r>
      <w:hyperlink r:id="rId54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54. </w:t>
      </w:r>
      <w:hyperlink r:id="rId55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55. </w:t>
      </w:r>
      <w:hyperlink r:id="rId56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56. </w:t>
      </w:r>
      <w:hyperlink r:id="rId57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57. </w:t>
      </w:r>
      <w:hyperlink r:id="rId58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58. </w:t>
      </w:r>
      <w:hyperlink r:id="rId59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59. </w:t>
      </w:r>
      <w:hyperlink r:id="rId60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60. </w:t>
      </w:r>
      <w:hyperlink r:id="rId61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61. </w:t>
      </w:r>
      <w:hyperlink r:id="rId62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62. </w:t>
      </w:r>
      <w:hyperlink r:id="rId63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63. </w:t>
      </w:r>
      <w:hyperlink r:id="rId64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64. </w:t>
      </w:r>
      <w:hyperlink r:id="rId65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65. </w:t>
      </w:r>
      <w:hyperlink r:id="rId66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66. </w:t>
      </w:r>
      <w:hyperlink r:id="rId67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67. </w:t>
      </w:r>
      <w:hyperlink r:id="rId68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68. </w:t>
      </w:r>
      <w:hyperlink r:id="rId69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69. </w:t>
      </w:r>
      <w:hyperlink r:id="rId70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70. </w:t>
      </w:r>
      <w:hyperlink r:id="rId71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71. </w:t>
      </w:r>
      <w:hyperlink r:id="rId72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72. </w:t>
      </w:r>
      <w:hyperlink r:id="rId73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73. </w:t>
      </w:r>
      <w:hyperlink r:id="rId74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74. </w:t>
      </w:r>
      <w:hyperlink r:id="rId75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75. </w:t>
      </w:r>
      <w:hyperlink r:id="rId76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76. </w:t>
      </w:r>
      <w:hyperlink r:id="rId77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77. </w:t>
      </w:r>
      <w:hyperlink r:id="rId78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78. </w:t>
      </w:r>
      <w:hyperlink r:id="rId79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79. </w:t>
      </w:r>
      <w:hyperlink r:id="rId80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80. </w:t>
      </w:r>
      <w:hyperlink r:id="rId81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81. </w:t>
      </w:r>
      <w:hyperlink r:id="rId82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82. </w:t>
      </w:r>
      <w:hyperlink r:id="rId83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83. </w:t>
      </w:r>
      <w:hyperlink r:id="rId84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84. </w:t>
      </w:r>
      <w:hyperlink r:id="rId85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85. </w:t>
      </w:r>
      <w:hyperlink r:id="rId86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86. </w:t>
      </w:r>
      <w:hyperlink r:id="rId87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87. </w:t>
      </w:r>
      <w:hyperlink r:id="rId88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88. </w:t>
      </w:r>
      <w:hyperlink r:id="rId89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89. </w:t>
      </w:r>
      <w:hyperlink r:id="rId90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90. </w:t>
      </w:r>
      <w:hyperlink r:id="rId91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91. </w:t>
      </w:r>
      <w:hyperlink r:id="rId92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92. </w:t>
      </w:r>
      <w:hyperlink r:id="rId93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93. </w:t>
      </w:r>
      <w:hyperlink r:id="rId94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94. </w:t>
      </w:r>
      <w:hyperlink r:id="rId95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95. </w:t>
      </w:r>
      <w:hyperlink r:id="rId96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96. </w:t>
      </w:r>
      <w:hyperlink r:id="rId97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97. </w:t>
      </w:r>
      <w:hyperlink r:id="rId98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98. </w:t>
      </w:r>
      <w:hyperlink r:id="rId99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99. </w:t>
      </w:r>
      <w:hyperlink r:id="rId100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100. </w:t>
      </w:r>
      <w:hyperlink r:id="rId101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101. </w:t>
      </w:r>
      <w:hyperlink r:id="rId102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102. </w:t>
      </w:r>
      <w:hyperlink r:id="rId103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103. </w:t>
      </w:r>
      <w:hyperlink r:id="rId104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104. </w:t>
      </w:r>
      <w:hyperlink r:id="rId105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105. </w:t>
      </w:r>
      <w:hyperlink r:id="rId106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106. </w:t>
      </w:r>
      <w:hyperlink r:id="rId107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107. </w:t>
      </w:r>
      <w:hyperlink r:id="rId108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ining.com/us-pours-1b-into-into-latin-america-critical-minerals/" TargetMode="External"/><Relationship Id="rId10" Type="http://schemas.openxmlformats.org/officeDocument/2006/relationships/hyperlink" Target="https://wyomingtruth.org/trump-administration-kicks-off-new-process-to-try-to-replace-tariffs-struck-down-by-supreme-court/" TargetMode="External"/><Relationship Id="rId11" Type="http://schemas.openxmlformats.org/officeDocument/2006/relationships/hyperlink" Target="https://www.agweek.com/news/policy/us-launches-unfair-trade-probes-to-rebuild-trumps-tariff-pressure" TargetMode="External"/><Relationship Id="rId12" Type="http://schemas.openxmlformats.org/officeDocument/2006/relationships/hyperlink" Target="https://www.openpr.com/news/4421772/asia-pacific-copper-wire-rod-market-to-reach-28-8-million-tons" TargetMode="External"/><Relationship Id="rId13" Type="http://schemas.openxmlformats.org/officeDocument/2006/relationships/hyperlink" Target="https://solarquarter.com/2026/03/12/chris-minns-launches-construction-of-the-blind-creek-solar-farm-and-battery-project-in-bungendore-marking-a-major-step-in-australias-clean-energy-transition/" TargetMode="External"/><Relationship Id="rId14" Type="http://schemas.openxmlformats.org/officeDocument/2006/relationships/hyperlink" Target="https://www.ad-hoc-news.de/boerse/news/ueberblick/labor-unrest-threatens-glencore-s-australian-copper-operations/68661303" TargetMode="External"/><Relationship Id="rId15" Type="http://schemas.openxmlformats.org/officeDocument/2006/relationships/hyperlink" Target="https://www.benzinga.com/news/politics/26/03/51204498/trump-launches-trade-probe-on-16-partners-including-china-india-eu" TargetMode="External"/><Relationship Id="rId16" Type="http://schemas.openxmlformats.org/officeDocument/2006/relationships/hyperlink" Target="https://www.trtworld.com/article/af4388a7e5a6" TargetMode="External"/><Relationship Id="rId17" Type="http://schemas.openxmlformats.org/officeDocument/2006/relationships/hyperlink" Target="https://www.capitalstreetfx.com/copper-trade-idea-march-11-2026-hg-futures-technical-analysis-trade-setup-fundamental-outlook/" TargetMode="External"/><Relationship Id="rId18" Type="http://schemas.openxmlformats.org/officeDocument/2006/relationships/hyperlink" Target="https://www.fxstreet.com/news/copper-scarcity-and-cta-buying-skew-td-securities-202603111340" TargetMode="External"/><Relationship Id="rId19" Type="http://schemas.openxmlformats.org/officeDocument/2006/relationships/hyperlink" Target="https://www.cnbc.com/2026/03/11/trump-trade-investigations-ieepa-tariffs.html" TargetMode="External"/><Relationship Id="rId20" Type="http://schemas.openxmlformats.org/officeDocument/2006/relationships/hyperlink" Target="https://investinglive.com/news/us-launches-section-301-tariff-probe-targeting-china-eu-mexico-japan-and-others-20260311/" TargetMode="External"/><Relationship Id="rId21" Type="http://schemas.openxmlformats.org/officeDocument/2006/relationships/hyperlink" Target="https://www.mirusfinancialpartners.com/blog/keeping-track-new-energy-economy" TargetMode="External"/><Relationship Id="rId22" Type="http://schemas.openxmlformats.org/officeDocument/2006/relationships/hyperlink" Target="https://skillings.net/coppers-13000-milestone-anatomy-of-a-structural-deficit-in-2026/" TargetMode="External"/><Relationship Id="rId23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24" Type="http://schemas.openxmlformats.org/officeDocument/2006/relationships/hyperlink" Target="https://www.mondaq.com/india/international-trade-investment/1755846/us-supreme-court-decision-against-trump-tariffs-what-lies-ahead" TargetMode="External"/><Relationship Id="rId25" Type="http://schemas.openxmlformats.org/officeDocument/2006/relationships/hyperlink" Target="https://www.mining.com/op-ed-how-geopolitics-are-rewiring-metals-markets/" TargetMode="External"/><Relationship Id="rId26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27" Type="http://schemas.openxmlformats.org/officeDocument/2006/relationships/hyperlink" Target="https://www.northernminer.com/news/chile-mining-faces-policy-test-under-kast-government/1003888711/" TargetMode="External"/><Relationship Id="rId28" Type="http://schemas.openxmlformats.org/officeDocument/2006/relationships/hyperlink" Target="https://skillings.net/the-vicuna-district-why-lundin-mining-is-doubling-down-on-the-worlds-next-copper-giant/" TargetMode="External"/><Relationship Id="rId29" Type="http://schemas.openxmlformats.org/officeDocument/2006/relationships/hyperlink" Target="https://www.eqmagpro.com/state-unveils-comprehensive-renewable-energy-policy-with-strong-push-for-solar-and-electric-vehicles-eq/" TargetMode="External"/><Relationship Id="rId30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31" Type="http://schemas.openxmlformats.org/officeDocument/2006/relationships/hyperlink" Target="https://www.vtmarkets.com/live-updates/commerzbanks-baur-says-chinas-strong-ore-imports-boost-copper-output-while-congo-supply-faces-risk/" TargetMode="External"/><Relationship Id="rId32" Type="http://schemas.openxmlformats.org/officeDocument/2006/relationships/hyperlink" Target="https://www.fxstreet.com/news/copper-china-demand-strong-congo-supply-at-risk-commerzbank-202603101311" TargetMode="External"/><Relationship Id="rId33" Type="http://schemas.openxmlformats.org/officeDocument/2006/relationships/hyperlink" Target="https://skillings.net/cbam-regulation-what-changed-and-impact-on-global-copper-2026/" TargetMode="External"/><Relationship Id="rId34" Type="http://schemas.openxmlformats.org/officeDocument/2006/relationships/hyperlink" Target="https://skillings.net/oyu-tolgoi-mine-update-revenue-share-demands-and-key-risks/" TargetMode="External"/><Relationship Id="rId35" Type="http://schemas.openxmlformats.org/officeDocument/2006/relationships/hyperlink" Target="https://www.eesi.org/topics/industry-manufacturing/description" TargetMode="External"/><Relationship Id="rId36" Type="http://schemas.openxmlformats.org/officeDocument/2006/relationships/hyperlink" Target="https://skillings.net/copper-price-forecast-2026-matters-why-the-looming-deficit-is-a-wake-up-call-for-investors/" TargetMode="External"/><Relationship Id="rId37" Type="http://schemas.openxmlformats.org/officeDocument/2006/relationships/hyperlink" Target="https://www.news.market.us/infrastructure-construction-market-news/" TargetMode="External"/><Relationship Id="rId38" Type="http://schemas.openxmlformats.org/officeDocument/2006/relationships/hyperlink" Target="https://evmagz.com/eu-approves-e200-million-spanish-aid-program-to-support-ev-supply-chain/" TargetMode="External"/><Relationship Id="rId39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40" Type="http://schemas.openxmlformats.org/officeDocument/2006/relationships/hyperlink" Target="https://www.eqmagpro.com/indias-inter-regional-power-transmission-capacity-set-to-reach-143-gw-by-2027-eq/" TargetMode="External"/><Relationship Id="rId41" Type="http://schemas.openxmlformats.org/officeDocument/2006/relationships/hyperlink" Target="https://kalkinemedia.com/au/stocks/metal-and-mining/bhp-copper-shift-meets-china-iron-ore-tensions" TargetMode="External"/><Relationship Id="rId42" Type="http://schemas.openxmlformats.org/officeDocument/2006/relationships/hyperlink" Target="https://skillings.net/hard-news-chilean-copper-output-hits-five-month-low-despite-strike-resolutions-at-major-mines/" TargetMode="External"/><Relationship Id="rId43" Type="http://schemas.openxmlformats.org/officeDocument/2006/relationships/hyperlink" Target="https://www.energy-storage.news/origin-energys-650mwh-grid-forming-bess-begins-commissioning-in-australia/" TargetMode="External"/><Relationship Id="rId44" Type="http://schemas.openxmlformats.org/officeDocument/2006/relationships/hyperlink" Target="https://www.pv-tech.org/fortescue-begins-construction-on-western-australias-largest-solar-pv-power-plant/" TargetMode="External"/><Relationship Id="rId45" Type="http://schemas.openxmlformats.org/officeDocument/2006/relationships/hyperlink" Target="https://www.wirecable.in/kec-international-executes-765-kv/" TargetMode="External"/><Relationship Id="rId46" Type="http://schemas.openxmlformats.org/officeDocument/2006/relationships/hyperlink" Target="https://www.independent.co.ug/charting-a-course-for-chinas-growth-with-new-quality-productive-forces/" TargetMode="External"/><Relationship Id="rId47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48" Type="http://schemas.openxmlformats.org/officeDocument/2006/relationships/hyperlink" Target="https://www.eqmagpro.com/indias-power-demand-continues-to-hit-new-highs-amid-rising-energy-consumption-eq/" TargetMode="External"/><Relationship Id="rId49" Type="http://schemas.openxmlformats.org/officeDocument/2006/relationships/hyperlink" Target="https://jamestown.org/spring-festival-gala-centers-high-tech-again/" TargetMode="External"/><Relationship Id="rId50" Type="http://schemas.openxmlformats.org/officeDocument/2006/relationships/hyperlink" Target="https://www.finedayradio.com/news/tv-delmarva-channel-33/european-companies-scramble-for-tariff-refunds-after-supreme-court-decision/" TargetMode="External"/><Relationship Id="rId51" Type="http://schemas.openxmlformats.org/officeDocument/2006/relationships/hyperlink" Target="https://www.edaily.co.kr/News/Read?newsId=04798646645380696&amp;mediaCodeNo=257&amp;OutLnkChk=Y" TargetMode="External"/><Relationship Id="rId52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53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54" Type="http://schemas.openxmlformats.org/officeDocument/2006/relationships/hyperlink" Target="https://economictimes.indiatimes.com/news/international/world-news/china-to-boost-spending-to-meet-growth-target/articleshow/129171948.cms" TargetMode="External"/><Relationship Id="rId55" Type="http://schemas.openxmlformats.org/officeDocument/2006/relationships/hyperlink" Target="https://insideclimatenews.org/news/06032026/illinois-comed-ev-rebate-funding/" TargetMode="External"/><Relationship Id="rId56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57" Type="http://schemas.openxmlformats.org/officeDocument/2006/relationships/hyperlink" Target="https://www.independent.co.uk/news/mexico-donald-trump-mexico-city-marcelo-ebrard-canada-b2932995.html" TargetMode="External"/><Relationship Id="rId58" Type="http://schemas.openxmlformats.org/officeDocument/2006/relationships/hyperlink" Target="https://europeanconservative.com/articles/news-corner/brussels-made-in-europe-plan-china-beijing-backlash-protectionism/" TargetMode="External"/><Relationship Id="rId59" Type="http://schemas.openxmlformats.org/officeDocument/2006/relationships/hyperlink" Target="https://www.ndtv.com/world-news/china-begins-its-biggest-political-two-sessions-meetings-what-it-is-11170565#publisher=newsstand" TargetMode="External"/><Relationship Id="rId60" Type="http://schemas.openxmlformats.org/officeDocument/2006/relationships/hyperlink" Target="https://skillings.net/2026-copper-crunch-boardroom-acquisitions-vs-pitfall-algorithms/" TargetMode="External"/><Relationship Id="rId61" Type="http://schemas.openxmlformats.org/officeDocument/2006/relationships/hyperlink" Target="https://microgridmedia.com/worlds-clean-energy-push-faces-hidden-hurdle/" TargetMode="External"/><Relationship Id="rId62" Type="http://schemas.openxmlformats.org/officeDocument/2006/relationships/hyperlink" Target="https://skillings.net/copper-hits-13228-london-surge-fueled-by-us-china-tariff-optimism/" TargetMode="External"/><Relationship Id="rId63" Type="http://schemas.openxmlformats.org/officeDocument/2006/relationships/hyperlink" Target="https://www.bizpacreview.com/2026/03/04/when-free-markets-arent-really-free-1625314/" TargetMode="External"/><Relationship Id="rId64" Type="http://schemas.openxmlformats.org/officeDocument/2006/relationships/hyperlink" Target="https://www.supplychainbrain.com/articles/43593-bessent-says-tariffs-will-rise-to-15-this-week" TargetMode="External"/><Relationship Id="rId65" Type="http://schemas.openxmlformats.org/officeDocument/2006/relationships/hyperlink" Target="https://www.tradersagency.com/copper-stocks-300k-investment-shortage/" TargetMode="External"/><Relationship Id="rId66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67" Type="http://schemas.openxmlformats.org/officeDocument/2006/relationships/hyperlink" Target="https://www.edp24.co.uk/news/25906654.uk-power-networks-complete-major-2-5m-project-lowestoft/?ref=rss" TargetMode="External"/><Relationship Id="rId68" Type="http://schemas.openxmlformats.org/officeDocument/2006/relationships/hyperlink" Target="https://www.asiapacific.ca/publication/us-launches-trade-bloc-stockpile-counter-chinas-grip" TargetMode="External"/><Relationship Id="rId69" Type="http://schemas.openxmlformats.org/officeDocument/2006/relationships/hyperlink" Target="https://investinglive.com/commodities/td-cowen-sees-the-best-macro-backdrop-for-metals-in-years-20260122/" TargetMode="External"/><Relationship Id="rId70" Type="http://schemas.openxmlformats.org/officeDocument/2006/relationships/hyperlink" Target="https://thehilltoponline.com/2026/02/17/u-s-launches-critical-minerals-coalition-at-54-nation-summit/" TargetMode="External"/><Relationship Id="rId71" Type="http://schemas.openxmlformats.org/officeDocument/2006/relationships/hyperlink" Target="https://www.df.cl/regiones/antofagasta/empresas/escondida-hace-llamado-al-gobierno-para-que-intervenga-por-huelga-de" TargetMode="External"/><Relationship Id="rId72" Type="http://schemas.openxmlformats.org/officeDocument/2006/relationships/hyperlink" Target="https://skillings.net/2026-critical-minerals-ministerial-inside-the-54-nation-forge-alliance-to-break-the-china-chokehold/" TargetMode="External"/><Relationship Id="rId73" Type="http://schemas.openxmlformats.org/officeDocument/2006/relationships/hyperlink" Target="https://www.devdiscourse.com/article/law-order/3782081-machinery-contractor-ends-labor-dispute-at-chiles-copper-mines" TargetMode="External"/><Relationship Id="rId74" Type="http://schemas.openxmlformats.org/officeDocument/2006/relationships/hyperlink" Target="https://diggers.news/business/2026/01/28/zambia-misses-1m-tonne-copper-production-target-for-2025/" TargetMode="External"/><Relationship Id="rId75" Type="http://schemas.openxmlformats.org/officeDocument/2006/relationships/hyperlink" Target="https://www.jdsupra.com/legalnews/u-s-signs-trade-deals-with-taiwan-and-3446987/" TargetMode="External"/><Relationship Id="rId76" Type="http://schemas.openxmlformats.org/officeDocument/2006/relationships/hyperlink" Target="https://skillings.net/chinas-critical-minerals-export-controls-what-happens-next-and-who-gets-squeezed-in-2026/" TargetMode="External"/><Relationship Id="rId77" Type="http://schemas.openxmlformats.org/officeDocument/2006/relationships/hyperlink" Target="https://bitcoinworld.co.in/china-us-tariffs-trade-relations/" TargetMode="External"/><Relationship Id="rId78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79" Type="http://schemas.openxmlformats.org/officeDocument/2006/relationships/hyperlink" Target="https://www.theglobeandmail.com/investing/markets/markets-news/Business%20Wire/37348935/capstone-copper-resumes-operations-at-mantoverde/" TargetMode="External"/><Relationship Id="rId80" Type="http://schemas.openxmlformats.org/officeDocument/2006/relationships/hyperlink" Target="https://www.df.cl/empresas/mineria/capstone-copper-reanuda-operacion-de-mantoverde-pese-a-huelga-y-dice-que" TargetMode="External"/><Relationship Id="rId81" Type="http://schemas.openxmlformats.org/officeDocument/2006/relationships/hyperlink" Target="https://www.northernminer.com/news/capstone-restarts-a-limited-mantoverde-as-strike-lingers/1003887210/" TargetMode="External"/><Relationship Id="rId82" Type="http://schemas.openxmlformats.org/officeDocument/2006/relationships/hyperlink" Target="https://www.lusakatimes.com/2026/02/04/mopani-halts-underground-mining-at-kitwe-and-mufulira/" TargetMode="External"/><Relationship Id="rId83" Type="http://schemas.openxmlformats.org/officeDocument/2006/relationships/hyperlink" Target="https://www.fool.com.au/2026/02/06/capstone-copper-shares-in-a-slump-despite-good-news-out-of-chile/" TargetMode="External"/><Relationship Id="rId84" Type="http://schemas.openxmlformats.org/officeDocument/2006/relationships/hyperlink" Target="https://skillings.net/water-scarcity-in-the-atacama-the-real-threat-to-2026-production/" TargetMode="External"/><Relationship Id="rId85" Type="http://schemas.openxmlformats.org/officeDocument/2006/relationships/hyperlink" Target="https://www.fxstreet.com/news/copper-tariffs-and-deficits-keep-prices-bid-td-securities-202602261644" TargetMode="External"/><Relationship Id="rId86" Type="http://schemas.openxmlformats.org/officeDocument/2006/relationships/hyperlink" Target="https://www.brecorder.com/news/40408192/lme-copper-set-for-third-weekly-decline-on-growing-inventories-low-liquidity" TargetMode="External"/><Relationship Id="rId87" Type="http://schemas.openxmlformats.org/officeDocument/2006/relationships/hyperlink" Target="https://www.moneyweb.co.za/mineweb/copper-heads-for-third-weekly-decline-as-inventories-stack-up/" TargetMode="External"/><Relationship Id="rId88" Type="http://schemas.openxmlformats.org/officeDocument/2006/relationships/hyperlink" Target="https://cceonlinenews.com/construction/projects/mega-construction-projects-in-the-united-states-2026/" TargetMode="External"/><Relationship Id="rId89" Type="http://schemas.openxmlformats.org/officeDocument/2006/relationships/hyperlink" Target="https://thearabianpost.com/copper-slides-towards-third-weekly-fall/" TargetMode="External"/><Relationship Id="rId90" Type="http://schemas.openxmlformats.org/officeDocument/2006/relationships/hyperlink" Target="https://www.dws.com/en-sg/insights/cio-view/charts-of-the-week/2026/copper-between-shortage-and-stockpiling/" TargetMode="External"/><Relationship Id="rId91" Type="http://schemas.openxmlformats.org/officeDocument/2006/relationships/hyperlink" Target="https://www.tickmill.com/blog/china-manufacturing-jump-underpins-copper" TargetMode="External"/><Relationship Id="rId92" Type="http://schemas.openxmlformats.org/officeDocument/2006/relationships/hyperlink" Target="https://cceonlinenews.com/investment-finance/top-construction-companies-in-the-usa/" TargetMode="External"/><Relationship Id="rId93" Type="http://schemas.openxmlformats.org/officeDocument/2006/relationships/hyperlink" Target="https://skillings.net/the-14-billion-pivot-deconstructing-glencores-massive-asset-disposal-to-fund-a-copper-first-future/" TargetMode="External"/><Relationship Id="rId94" Type="http://schemas.openxmlformats.org/officeDocument/2006/relationships/hyperlink" Target="https://skillings.net/rio-tinto-copper-strategy-what-it-is-why-it-matters-2026-outlook/" TargetMode="External"/><Relationship Id="rId95" Type="http://schemas.openxmlformats.org/officeDocument/2006/relationships/hyperlink" Target="https://mining.com.au/doctor-is-in-copper-making-a-comeback/" TargetMode="External"/><Relationship Id="rId96" Type="http://schemas.openxmlformats.org/officeDocument/2006/relationships/hyperlink" Target="https://www.openpr.com/news/4400943/united-states-copper-market-to-witness-strong-growth-driven" TargetMode="External"/><Relationship Id="rId97" Type="http://schemas.openxmlformats.org/officeDocument/2006/relationships/hyperlink" Target="https://bitcoinworld.co.in/copper-prices-chinese-demand-ing/" TargetMode="External"/><Relationship Id="rId98" Type="http://schemas.openxmlformats.org/officeDocument/2006/relationships/hyperlink" Target="https://chemindigest.com/romulo-mucho-global-mining-must-double-copper-output/" TargetMode="External"/><Relationship Id="rId99" Type="http://schemas.openxmlformats.org/officeDocument/2006/relationships/hyperlink" Target="https://skillings.net/mmm-outlook-2026-navigating-volatility-in-the-energy-transition/" TargetMode="External"/><Relationship Id="rId100" Type="http://schemas.openxmlformats.org/officeDocument/2006/relationships/hyperlink" Target="https://smallcaps.com.au/article/where-are-the-new-copper-discoveries-deficit-remains-small-caps-to-benefit" TargetMode="External"/><Relationship Id="rId101" Type="http://schemas.openxmlformats.org/officeDocument/2006/relationships/hyperlink" Target="https://mining.com.au/coppers-comeback-confidence-capital-and-climbing-consumption/" TargetMode="External"/><Relationship Id="rId102" Type="http://schemas.openxmlformats.org/officeDocument/2006/relationships/hyperlink" Target="https://kalkinemedia.com/au/stocks/metal-and-mining/coppers-revival-is-reshaping-mining-confidence-across-australia" TargetMode="External"/><Relationship Id="rId103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104" Type="http://schemas.openxmlformats.org/officeDocument/2006/relationships/hyperlink" Target="https://www.openpr.com/news/4408354/overhead-transmission-lines-the-10-35-billion-backbone" TargetMode="External"/><Relationship Id="rId105" Type="http://schemas.openxmlformats.org/officeDocument/2006/relationships/hyperlink" Target="https://arynews.tv/copper-price-today-in-pakistan-1-kg-tamba-rate-march-2-2026" TargetMode="External"/><Relationship Id="rId106" Type="http://schemas.openxmlformats.org/officeDocument/2006/relationships/hyperlink" Target="https://carboncredits.com/copper-prices-surge-above-13000-best-copper-stocks-to-watch-in-2026/" TargetMode="External"/><Relationship Id="rId107" Type="http://schemas.openxmlformats.org/officeDocument/2006/relationships/hyperlink" Target="https://whtc.com/2026/03/03/explainer-what-chinas-next-five-year-plan-may-hold-in-store-for-commodity-markets/" TargetMode="External"/><Relationship Id="rId108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